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rPr>
          <w:rFonts w:ascii="Inter" w:hAnsi="Inter" w:eastAsia="Inter" w:cs="Inter"/>
          <w:b w:val="0"/>
          <w:color w:val="18181B"/>
        </w:rPr>
        <w:t>PRODUCT STRATEGY</w:t>
      </w:r>
    </w:p>
    <w:p>
      <w:pPr>
        <w:pStyle w:val="Title"/>
      </w:pPr>
      <w:r>
        <w:t>MVP Planning Blueprint</w:t>
      </w:r>
    </w:p>
    <w:p>
      <w:pPr>
        <w:pStyle w:val="Deck"/>
      </w:pPr>
      <w:r>
        <w:rPr>
          <w:rFonts w:ascii="Inter" w:hAnsi="Inter" w:eastAsia="Inter" w:cs="Inter"/>
          <w:b w:val="0"/>
          <w:color w:val="18181B"/>
        </w:rPr>
        <w:t>Choose a first release that tests a consequential decision and can be operated responsibly.</w:t>
      </w:r>
    </w:p>
    <w:p>
      <w:pPr>
        <w:pStyle w:val="Heading2"/>
      </w:pPr>
      <w:r>
        <w:t>Define the decision the MVP must support</w:t>
      </w:r>
    </w:p>
    <w:p>
      <w:r>
        <w:rPr>
          <w:rFonts w:ascii="Inter" w:hAnsi="Inter" w:eastAsia="Inter" w:cs="Inter"/>
          <w:b w:val="0"/>
          <w:color w:val="18181B"/>
        </w:rPr>
        <w:t>Decide what you need to learn before making the next investment, which users can provide that evidence and what they must be able to accomplish. Then define a release narrow enough to deliver and complete enough to produce a credible result.</w:t>
      </w:r>
    </w:p>
    <w:p>
      <w:r>
        <w:rPr>
          <w:rFonts w:ascii="Inter" w:hAnsi="Inter" w:eastAsia="Inter" w:cs="Inter"/>
          <w:b w:val="0"/>
          <w:color w:val="18181B"/>
        </w:rPr>
        <w:t>A prototype, a supervised pilot and a public service have different obligations. A prototype may test comprehension without live transactions. A pilot needs an owner who can support real users and repair failed work. A public release needs an operating model that continues when the delivery team moves on.</w:t>
      </w:r>
    </w:p>
    <w:p>
      <w:pPr>
        <w:pStyle w:val="Heading2"/>
      </w:pPr>
      <w:r>
        <w:t>Write the investment question</w:t>
      </w:r>
    </w:p>
    <w:p>
      <w:r>
        <w:rPr>
          <w:rFonts w:ascii="Inter" w:hAnsi="Inter" w:eastAsia="Inter" w:cs="Inter"/>
          <w:b w:val="0"/>
          <w:color w:val="18181B"/>
        </w:rPr>
        <w:t>Name the decision that will change after the release: proceed with a larger build, change the workflow, replace an assumption or stop. Avoid a question that can only produce a favorable answer, such as whether people like the idea. Look for behavior or operational evidence that would make further investment difficult to justify.</w:t>
      </w:r>
    </w:p>
    <w:p>
      <w:pPr>
        <w:pStyle w:val="Fieldlabel"/>
      </w:pPr>
      <w:r>
        <w:rPr>
          <w:rFonts w:ascii="Inter" w:hAnsi="Inter" w:eastAsia="Inter" w:cs="Inter"/>
          <w:b/>
          <w:color w:val="18181B"/>
        </w:rPr>
        <w:t>Product • accountable sponsor • product owner</w:t>
      </w:r>
    </w:p>
    <w:sdt>
      <w:sdtPr>
        <w:alias w:val="Product • accountable sponsor • product owner"/>
        <w:tag w:val="field-b9d7298ebc5a"/>
        <w:id w:val="101689133"/>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Target user and task • current evidence</w:t>
      </w:r>
    </w:p>
    <w:sdt>
      <w:sdtPr>
        <w:alias w:val="Target user and task • current evidence"/>
        <w:tag w:val="field-b78a00a97d33"/>
        <w:id w:val="8960029"/>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Investment decision this release will inform</w:t>
      </w:r>
    </w:p>
    <w:sdt>
      <w:sdtPr>
        <w:alias w:val="Investment decision this release will inform"/>
        <w:tag w:val="field-981ab8099945"/>
        <w:id w:val="242699930"/>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Separate facts from assumptions</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304"/>
        <w:gridCol w:w="7632"/>
      </w:tblGrid>
      <w:tr>
        <w:trPr>
          <w:cantSplit/>
          <w:tblHeader/>
        </w:trPr>
        <w:tc>
          <w:tcPr>
            <w:tcW w:type="dxa" w:w="2304"/>
            <w:vAlign w:val="center"/>
            <w:shd w:fill="F4F4F5"/>
          </w:tcPr>
          <w:p>
            <w:pPr>
              <w:pStyle w:val="Tablecopy"/>
            </w:pPr>
            <w:r/>
            <w:r>
              <w:rPr>
                <w:rFonts w:ascii="Inter" w:hAnsi="Inter" w:eastAsia="Inter" w:cs="Inter"/>
                <w:b/>
                <w:color w:val="18181B"/>
                <w:sz w:val="21"/>
              </w:rPr>
              <w:t>Evidence state</w:t>
            </w:r>
          </w:p>
        </w:tc>
        <w:tc>
          <w:tcPr>
            <w:tcW w:type="dxa" w:w="7632"/>
            <w:vAlign w:val="center"/>
            <w:shd w:fill="F4F4F5"/>
          </w:tcPr>
          <w:p>
            <w:pPr>
              <w:pStyle w:val="Tablecopy"/>
            </w:pPr>
            <w:r/>
            <w:r>
              <w:rPr>
                <w:rFonts w:ascii="Inter" w:hAnsi="Inter" w:eastAsia="Inter" w:cs="Inter"/>
                <w:b/>
                <w:color w:val="18181B"/>
                <w:sz w:val="21"/>
              </w:rPr>
              <w:t>How to use it</w:t>
            </w:r>
          </w:p>
        </w:tc>
      </w:tr>
      <w:tr>
        <w:trPr>
          <w:cantSplit/>
        </w:trPr>
        <w:tc>
          <w:tcPr>
            <w:tcW w:type="dxa" w:w="2304"/>
            <w:vAlign w:val="center"/>
          </w:tcPr>
          <w:p>
            <w:pPr>
              <w:pStyle w:val="Tablecopy"/>
            </w:pPr>
            <w:r/>
            <w:r>
              <w:rPr>
                <w:rFonts w:ascii="Inter" w:hAnsi="Inter" w:eastAsia="Inter" w:cs="Inter"/>
                <w:b w:val="0"/>
                <w:color w:val="18181B"/>
                <w:sz w:val="21"/>
              </w:rPr>
              <w:t>Observed</w:t>
            </w:r>
          </w:p>
        </w:tc>
        <w:tc>
          <w:tcPr>
            <w:tcW w:type="dxa" w:w="7632"/>
            <w:vAlign w:val="center"/>
          </w:tcPr>
          <w:p>
            <w:pPr>
              <w:pStyle w:val="Tablecopy"/>
            </w:pPr>
            <w:r/>
            <w:r>
              <w:rPr>
                <w:rFonts w:ascii="Inter" w:hAnsi="Inter" w:eastAsia="Inter" w:cs="Inter"/>
                <w:b w:val="0"/>
                <w:color w:val="18181B"/>
                <w:sz w:val="21"/>
              </w:rPr>
              <w:t>Record the source, context and limits. Check that it represents the intended users.</w:t>
            </w:r>
          </w:p>
        </w:tc>
      </w:tr>
      <w:tr>
        <w:trPr>
          <w:cantSplit/>
        </w:trPr>
        <w:tc>
          <w:tcPr>
            <w:tcW w:type="dxa" w:w="2304"/>
            <w:vAlign w:val="center"/>
          </w:tcPr>
          <w:p>
            <w:pPr>
              <w:pStyle w:val="Tablecopy"/>
            </w:pPr>
            <w:r/>
            <w:r>
              <w:rPr>
                <w:rFonts w:ascii="Inter" w:hAnsi="Inter" w:eastAsia="Inter" w:cs="Inter"/>
                <w:b w:val="0"/>
                <w:color w:val="18181B"/>
                <w:sz w:val="21"/>
              </w:rPr>
              <w:t>Inferred</w:t>
            </w:r>
          </w:p>
        </w:tc>
        <w:tc>
          <w:tcPr>
            <w:tcW w:type="dxa" w:w="7632"/>
            <w:vAlign w:val="center"/>
          </w:tcPr>
          <w:p>
            <w:pPr>
              <w:pStyle w:val="Tablecopy"/>
            </w:pPr>
            <w:r/>
            <w:r>
              <w:rPr>
                <w:rFonts w:ascii="Inter" w:hAnsi="Inter" w:eastAsia="Inter" w:cs="Inter"/>
                <w:b w:val="0"/>
                <w:color w:val="18181B"/>
                <w:sz w:val="21"/>
              </w:rPr>
              <w:t>Explain the reasoning and the evidence that could contradict it.</w:t>
            </w:r>
          </w:p>
        </w:tc>
      </w:tr>
      <w:tr>
        <w:trPr>
          <w:cantSplit/>
        </w:trPr>
        <w:tc>
          <w:tcPr>
            <w:tcW w:type="dxa" w:w="2304"/>
            <w:vAlign w:val="center"/>
          </w:tcPr>
          <w:p>
            <w:pPr>
              <w:pStyle w:val="Tablecopy"/>
            </w:pPr>
            <w:r/>
            <w:r>
              <w:rPr>
                <w:rFonts w:ascii="Inter" w:hAnsi="Inter" w:eastAsia="Inter" w:cs="Inter"/>
                <w:b w:val="0"/>
                <w:color w:val="18181B"/>
                <w:sz w:val="21"/>
              </w:rPr>
              <w:t>Unknown</w:t>
            </w:r>
          </w:p>
        </w:tc>
        <w:tc>
          <w:tcPr>
            <w:tcW w:type="dxa" w:w="7632"/>
            <w:vAlign w:val="center"/>
          </w:tcPr>
          <w:p>
            <w:pPr>
              <w:pStyle w:val="Tablecopy"/>
            </w:pPr>
            <w:r/>
            <w:r>
              <w:rPr>
                <w:rFonts w:ascii="Inter" w:hAnsi="Inter" w:eastAsia="Inter" w:cs="Inter"/>
                <w:b w:val="0"/>
                <w:color w:val="18181B"/>
                <w:sz w:val="21"/>
              </w:rPr>
              <w:t>Assign a test or investigation before relying on the claim for scope or cost.</w:t>
            </w:r>
          </w:p>
        </w:tc>
      </w:tr>
    </w:tbl>
    <w:p>
      <w:pPr>
        <w:pStyle w:val="Tablegap"/>
      </w:pPr>
    </w:p>
    <w:p>
      <w:pPr>
        <w:pStyle w:val="Small"/>
      </w:pPr>
      <w:r>
        <w:rPr>
          <w:rFonts w:ascii="Inter" w:hAnsi="Inter" w:eastAsia="Inter" w:cs="Inter"/>
          <w:b w:val="0"/>
          <w:color w:val="18181B"/>
        </w:rPr>
        <w:t>Maintain this distinction throughout the plan. An agreed assumption remains an assumption until evidence supports it.</w:t>
      </w:r>
    </w:p>
    <w:p>
      <w:pPr>
        <w:pStyle w:val="Eyebrow"/>
        <w:pageBreakBefore/>
      </w:pPr>
      <w:r>
        <w:rPr>
          <w:rFonts w:ascii="Inter" w:hAnsi="Inter" w:eastAsia="Inter" w:cs="Inter"/>
          <w:b w:val="0"/>
          <w:color w:val="18181B"/>
        </w:rPr>
        <w:t>02 / From evidence to release</w:t>
      </w:r>
    </w:p>
    <w:p>
      <w:pPr>
        <w:pStyle w:val="Heading1"/>
      </w:pPr>
      <w:r>
        <w:t>Select one complete user outcome</w:t>
      </w:r>
    </w:p>
    <w:p>
      <w:pPr>
        <w:pStyle w:val="Deck"/>
      </w:pPr>
      <w:r>
        <w:rPr>
          <w:rFonts w:ascii="Inter" w:hAnsi="Inter" w:eastAsia="Inter" w:cs="Inter"/>
          <w:b w:val="0"/>
          <w:color w:val="18181B"/>
        </w:rPr>
        <w:t>Reduce breadth without breaking the task that gives the product its value.</w:t>
      </w:r>
    </w:p>
    <w:p>
      <w:pPr>
        <w:pStyle w:val="Heading2"/>
      </w:pPr>
      <w:r>
        <w:t>Choose the first operating slice</w:t>
      </w:r>
    </w:p>
    <w:p>
      <w:r>
        <w:rPr>
          <w:rFonts w:ascii="Inter" w:hAnsi="Inter" w:eastAsia="Inter" w:cs="Inter"/>
          <w:b w:val="0"/>
          <w:color w:val="18181B"/>
        </w:rPr>
        <w:t>Select the user group, entry point and final outcome. Trace the task through every required handoff, including back-office work. If someone must manually approve, reconcile or correct a result, include that work in the release plan and capacity estimate.</w:t>
      </w:r>
    </w:p>
    <w:p>
      <w:r>
        <w:rPr>
          <w:rFonts w:ascii="Inter" w:hAnsi="Inter" w:eastAsia="Inter" w:cs="Inter"/>
          <w:b w:val="0"/>
          <w:color w:val="18181B"/>
        </w:rPr>
        <w:t>Examine each proposed capability against the chosen outcome. Keep it when removing it prevents completion, invalidates the learning or creates an unacceptable exposure. Defer it when an explicit supported route lets the same users complete the task safely.</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088"/>
        <w:gridCol w:w="7848"/>
      </w:tblGrid>
      <w:tr>
        <w:trPr>
          <w:cantSplit/>
          <w:tblHeader/>
        </w:trPr>
        <w:tc>
          <w:tcPr>
            <w:tcW w:type="dxa" w:w="2088"/>
            <w:vAlign w:val="center"/>
            <w:shd w:fill="F4F4F5"/>
          </w:tcPr>
          <w:p>
            <w:pPr>
              <w:pStyle w:val="Tablecopy"/>
            </w:pPr>
            <w:r/>
            <w:r>
              <w:rPr>
                <w:rFonts w:ascii="Inter" w:hAnsi="Inter" w:eastAsia="Inter" w:cs="Inter"/>
                <w:b/>
                <w:color w:val="18181B"/>
                <w:sz w:val="21"/>
              </w:rPr>
              <w:t>Scope decision</w:t>
            </w:r>
          </w:p>
        </w:tc>
        <w:tc>
          <w:tcPr>
            <w:tcW w:type="dxa" w:w="7848"/>
            <w:vAlign w:val="center"/>
            <w:shd w:fill="F4F4F5"/>
          </w:tcPr>
          <w:p>
            <w:pPr>
              <w:pStyle w:val="Tablecopy"/>
            </w:pPr>
            <w:r/>
            <w:r>
              <w:rPr>
                <w:rFonts w:ascii="Inter" w:hAnsi="Inter" w:eastAsia="Inter" w:cs="Inter"/>
                <w:b/>
                <w:color w:val="18181B"/>
                <w:sz w:val="21"/>
              </w:rPr>
              <w:t>Required explanation</w:t>
            </w:r>
          </w:p>
        </w:tc>
      </w:tr>
      <w:tr>
        <w:trPr>
          <w:cantSplit/>
        </w:trPr>
        <w:tc>
          <w:tcPr>
            <w:tcW w:type="dxa" w:w="2088"/>
            <w:vAlign w:val="center"/>
          </w:tcPr>
          <w:p>
            <w:pPr>
              <w:pStyle w:val="Tablecopy"/>
            </w:pPr>
            <w:r/>
            <w:r>
              <w:rPr>
                <w:rFonts w:ascii="Inter" w:hAnsi="Inter" w:eastAsia="Inter" w:cs="Inter"/>
                <w:b w:val="0"/>
                <w:color w:val="18181B"/>
                <w:sz w:val="21"/>
              </w:rPr>
              <w:t>Include</w:t>
            </w:r>
          </w:p>
        </w:tc>
        <w:tc>
          <w:tcPr>
            <w:tcW w:type="dxa" w:w="7848"/>
            <w:vAlign w:val="center"/>
          </w:tcPr>
          <w:p>
            <w:pPr>
              <w:pStyle w:val="Tablecopy"/>
            </w:pPr>
            <w:r/>
            <w:r>
              <w:rPr>
                <w:rFonts w:ascii="Inter" w:hAnsi="Inter" w:eastAsia="Inter" w:cs="Inter"/>
                <w:b w:val="0"/>
                <w:color w:val="18181B"/>
                <w:sz w:val="21"/>
              </w:rPr>
              <w:t>Which task or release obligation fails without this capability?</w:t>
            </w:r>
          </w:p>
        </w:tc>
      </w:tr>
      <w:tr>
        <w:trPr>
          <w:cantSplit/>
        </w:trPr>
        <w:tc>
          <w:tcPr>
            <w:tcW w:type="dxa" w:w="2088"/>
            <w:vAlign w:val="center"/>
          </w:tcPr>
          <w:p>
            <w:pPr>
              <w:pStyle w:val="Tablecopy"/>
            </w:pPr>
            <w:r/>
            <w:r>
              <w:rPr>
                <w:rFonts w:ascii="Inter" w:hAnsi="Inter" w:eastAsia="Inter" w:cs="Inter"/>
                <w:b w:val="0"/>
                <w:color w:val="18181B"/>
                <w:sz w:val="21"/>
              </w:rPr>
              <w:t>Handle manually</w:t>
            </w:r>
          </w:p>
        </w:tc>
        <w:tc>
          <w:tcPr>
            <w:tcW w:type="dxa" w:w="7848"/>
            <w:vAlign w:val="center"/>
          </w:tcPr>
          <w:p>
            <w:pPr>
              <w:pStyle w:val="Tablecopy"/>
            </w:pPr>
            <w:r/>
            <w:r>
              <w:rPr>
                <w:rFonts w:ascii="Inter" w:hAnsi="Inter" w:eastAsia="Inter" w:cs="Inter"/>
                <w:b w:val="0"/>
                <w:color w:val="18181B"/>
                <w:sz w:val="21"/>
              </w:rPr>
              <w:t>Who performs the work, with what access, capacity and escalation route?</w:t>
            </w:r>
          </w:p>
        </w:tc>
      </w:tr>
      <w:tr>
        <w:trPr>
          <w:cantSplit/>
        </w:trPr>
        <w:tc>
          <w:tcPr>
            <w:tcW w:type="dxa" w:w="2088"/>
            <w:vAlign w:val="center"/>
          </w:tcPr>
          <w:p>
            <w:pPr>
              <w:pStyle w:val="Tablecopy"/>
            </w:pPr>
            <w:r/>
            <w:r>
              <w:rPr>
                <w:rFonts w:ascii="Inter" w:hAnsi="Inter" w:eastAsia="Inter" w:cs="Inter"/>
                <w:b w:val="0"/>
                <w:color w:val="18181B"/>
                <w:sz w:val="21"/>
              </w:rPr>
              <w:t>Defer</w:t>
            </w:r>
          </w:p>
        </w:tc>
        <w:tc>
          <w:tcPr>
            <w:tcW w:type="dxa" w:w="7848"/>
            <w:vAlign w:val="center"/>
          </w:tcPr>
          <w:p>
            <w:pPr>
              <w:pStyle w:val="Tablecopy"/>
            </w:pPr>
            <w:r/>
            <w:r>
              <w:rPr>
                <w:rFonts w:ascii="Inter" w:hAnsi="Inter" w:eastAsia="Inter" w:cs="Inter"/>
                <w:b w:val="0"/>
                <w:color w:val="18181B"/>
                <w:sz w:val="21"/>
              </w:rPr>
              <w:t>What is the supported alternative and what evidence could bring it forward?</w:t>
            </w:r>
          </w:p>
        </w:tc>
      </w:tr>
      <w:tr>
        <w:trPr>
          <w:cantSplit/>
        </w:trPr>
        <w:tc>
          <w:tcPr>
            <w:tcW w:type="dxa" w:w="2088"/>
            <w:vAlign w:val="center"/>
          </w:tcPr>
          <w:p>
            <w:pPr>
              <w:pStyle w:val="Tablecopy"/>
            </w:pPr>
            <w:r/>
            <w:r>
              <w:rPr>
                <w:rFonts w:ascii="Inter" w:hAnsi="Inter" w:eastAsia="Inter" w:cs="Inter"/>
                <w:b w:val="0"/>
                <w:color w:val="18181B"/>
                <w:sz w:val="21"/>
              </w:rPr>
              <w:t>Exclude</w:t>
            </w:r>
          </w:p>
        </w:tc>
        <w:tc>
          <w:tcPr>
            <w:tcW w:type="dxa" w:w="7848"/>
            <w:vAlign w:val="center"/>
          </w:tcPr>
          <w:p>
            <w:pPr>
              <w:pStyle w:val="Tablecopy"/>
            </w:pPr>
            <w:r/>
            <w:r>
              <w:rPr>
                <w:rFonts w:ascii="Inter" w:hAnsi="Inter" w:eastAsia="Inter" w:cs="Inter"/>
                <w:b w:val="0"/>
                <w:color w:val="18181B"/>
                <w:sz w:val="21"/>
              </w:rPr>
              <w:t>How will users discover the boundary before investing effort?</w:t>
            </w:r>
          </w:p>
        </w:tc>
      </w:tr>
    </w:tbl>
    <w:p>
      <w:pPr>
        <w:pStyle w:val="Tablegap"/>
      </w:pPr>
    </w:p>
    <w:p>
      <w:pPr>
        <w:pStyle w:val="Heading2"/>
      </w:pPr>
      <w:r>
        <w:t>Avoid hidden scope</w:t>
      </w:r>
    </w:p>
    <w:p>
      <w:r>
        <w:rPr>
          <w:rFonts w:ascii="Inter" w:hAnsi="Inter" w:eastAsia="Inter" w:cs="Inter"/>
          <w:b w:val="0"/>
          <w:color w:val="18181B"/>
        </w:rPr>
        <w:t>Administrative access, error messages, onboarding, account recovery, reporting and support are easy to omit because they are less visible than the main interface. Review them against the real operating context. A narrow feature set can still require a complete permission, data and recovery design.</w:t>
      </w:r>
    </w:p>
    <w:p>
      <w:pPr>
        <w:pStyle w:val="Fieldlabel"/>
      </w:pPr>
      <w:r>
        <w:rPr>
          <w:rFonts w:ascii="Inter" w:hAnsi="Inter" w:eastAsia="Inter" w:cs="Inter"/>
          <w:b/>
          <w:color w:val="18181B"/>
        </w:rPr>
        <w:t>First user group • entry trigger • completed outcome</w:t>
      </w:r>
    </w:p>
    <w:sdt>
      <w:sdtPr>
        <w:alias w:val="First user group • entry trigger • completed outcome"/>
        <w:tag w:val="field-7565d90ac098"/>
        <w:id w:val="242903963"/>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Essential capabilities and required manual work</w:t>
      </w:r>
    </w:p>
    <w:sdt>
      <w:sdtPr>
        <w:alias w:val="Essential capabilities and required manual work"/>
        <w:tag w:val="field-1323e45b069c"/>
        <w:id w:val="24154684"/>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Deferred capabilities • supported alternative</w:t>
      </w:r>
    </w:p>
    <w:sdt>
      <w:sdtPr>
        <w:alias w:val="Deferred capabilities • supported alternative"/>
        <w:tag w:val="field-4fa5de266d34"/>
        <w:id w:val="1723870"/>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Scope check: walk through success, interruption and correction. Every unfinished task needs a visible status and an accountable next owner.</w:t>
      </w:r>
    </w:p>
    <w:p>
      <w:pPr>
        <w:pStyle w:val="Eyebrow"/>
        <w:pageBreakBefore/>
      </w:pPr>
      <w:r>
        <w:rPr>
          <w:rFonts w:ascii="Inter" w:hAnsi="Inter" w:eastAsia="Inter" w:cs="Inter"/>
          <w:b w:val="0"/>
          <w:color w:val="18181B"/>
        </w:rPr>
        <w:t>03 / From evidence to release</w:t>
      </w:r>
    </w:p>
    <w:p>
      <w:pPr>
        <w:pStyle w:val="Heading1"/>
      </w:pPr>
      <w:r>
        <w:t>Test the assumptions that can stop delivery</w:t>
      </w:r>
    </w:p>
    <w:p>
      <w:pPr>
        <w:pStyle w:val="Deck"/>
      </w:pPr>
      <w:r>
        <w:rPr>
          <w:rFonts w:ascii="Inter" w:hAnsi="Inter" w:eastAsia="Inter" w:cs="Inter"/>
          <w:b w:val="0"/>
          <w:color w:val="18181B"/>
        </w:rPr>
        <w:t>Choose the smallest credible investigation for each material uncertainty.</w:t>
      </w:r>
    </w:p>
    <w:p>
      <w:pPr>
        <w:pStyle w:val="Heading2"/>
      </w:pPr>
      <w:r>
        <w:t>Order learning by consequence</w:t>
      </w:r>
    </w:p>
    <w:p>
      <w:r>
        <w:rPr>
          <w:rFonts w:ascii="Inter" w:hAnsi="Inter" w:eastAsia="Inter" w:cs="Inter"/>
          <w:b w:val="0"/>
          <w:color w:val="18181B"/>
        </w:rPr>
        <w:t>Start with assumptions whose failure would change the product direction or make the release unworkable. Consider user demand, workflow fit, technical feasibility, data availability, operating capacity and permission to use the necessary information. Familiar engineering work should not crowd out an uncertain reason to build.</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304"/>
        <w:gridCol w:w="7632"/>
      </w:tblGrid>
      <w:tr>
        <w:trPr>
          <w:cantSplit/>
          <w:tblHeader/>
        </w:trPr>
        <w:tc>
          <w:tcPr>
            <w:tcW w:type="dxa" w:w="2304"/>
            <w:vAlign w:val="center"/>
            <w:shd w:fill="F4F4F5"/>
          </w:tcPr>
          <w:p>
            <w:pPr>
              <w:pStyle w:val="Tablecopy"/>
            </w:pPr>
            <w:r/>
            <w:r>
              <w:rPr>
                <w:rFonts w:ascii="Inter" w:hAnsi="Inter" w:eastAsia="Inter" w:cs="Inter"/>
                <w:b/>
                <w:color w:val="18181B"/>
                <w:sz w:val="21"/>
              </w:rPr>
              <w:t>Uncertainty</w:t>
            </w:r>
          </w:p>
        </w:tc>
        <w:tc>
          <w:tcPr>
            <w:tcW w:type="dxa" w:w="7632"/>
            <w:vAlign w:val="center"/>
            <w:shd w:fill="F4F4F5"/>
          </w:tcPr>
          <w:p>
            <w:pPr>
              <w:pStyle w:val="Tablecopy"/>
            </w:pPr>
            <w:r/>
            <w:r>
              <w:rPr>
                <w:rFonts w:ascii="Inter" w:hAnsi="Inter" w:eastAsia="Inter" w:cs="Inter"/>
                <w:b/>
                <w:color w:val="18181B"/>
                <w:sz w:val="21"/>
              </w:rPr>
              <w:t>Useful evidence</w:t>
            </w:r>
          </w:p>
        </w:tc>
      </w:tr>
      <w:tr>
        <w:trPr>
          <w:cantSplit/>
        </w:trPr>
        <w:tc>
          <w:tcPr>
            <w:tcW w:type="dxa" w:w="2304"/>
            <w:vAlign w:val="center"/>
          </w:tcPr>
          <w:p>
            <w:pPr>
              <w:pStyle w:val="Tablecopy"/>
            </w:pPr>
            <w:r/>
            <w:r>
              <w:rPr>
                <w:rFonts w:ascii="Inter" w:hAnsi="Inter" w:eastAsia="Inter" w:cs="Inter"/>
                <w:b w:val="0"/>
                <w:color w:val="18181B"/>
                <w:sz w:val="21"/>
              </w:rPr>
              <w:t>Task and value</w:t>
            </w:r>
          </w:p>
        </w:tc>
        <w:tc>
          <w:tcPr>
            <w:tcW w:type="dxa" w:w="7632"/>
            <w:vAlign w:val="center"/>
          </w:tcPr>
          <w:p>
            <w:pPr>
              <w:pStyle w:val="Tablecopy"/>
            </w:pPr>
            <w:r/>
            <w:r>
              <w:rPr>
                <w:rFonts w:ascii="Inter" w:hAnsi="Inter" w:eastAsia="Inter" w:cs="Inter"/>
                <w:b w:val="0"/>
                <w:color w:val="18181B"/>
                <w:sz w:val="21"/>
              </w:rPr>
              <w:t>Observe current work, friction and consequences; test whether the proposed outcome changes a real decision or behavior.</w:t>
            </w:r>
          </w:p>
        </w:tc>
      </w:tr>
      <w:tr>
        <w:trPr>
          <w:cantSplit/>
        </w:trPr>
        <w:tc>
          <w:tcPr>
            <w:tcW w:type="dxa" w:w="2304"/>
            <w:vAlign w:val="center"/>
          </w:tcPr>
          <w:p>
            <w:pPr>
              <w:pStyle w:val="Tablecopy"/>
            </w:pPr>
            <w:r/>
            <w:r>
              <w:rPr>
                <w:rFonts w:ascii="Inter" w:hAnsi="Inter" w:eastAsia="Inter" w:cs="Inter"/>
                <w:b w:val="0"/>
                <w:color w:val="18181B"/>
                <w:sz w:val="21"/>
              </w:rPr>
              <w:t>Comprehension</w:t>
            </w:r>
          </w:p>
        </w:tc>
        <w:tc>
          <w:tcPr>
            <w:tcW w:type="dxa" w:w="7632"/>
            <w:vAlign w:val="center"/>
          </w:tcPr>
          <w:p>
            <w:pPr>
              <w:pStyle w:val="Tablecopy"/>
            </w:pPr>
            <w:r/>
            <w:r>
              <w:rPr>
                <w:rFonts w:ascii="Inter" w:hAnsi="Inter" w:eastAsia="Inter" w:cs="Inter"/>
                <w:b w:val="0"/>
                <w:color w:val="18181B"/>
                <w:sz w:val="21"/>
              </w:rPr>
              <w:t>Test a representative flow with intended users, including people who need assistance or accessibility support.</w:t>
            </w:r>
          </w:p>
        </w:tc>
      </w:tr>
      <w:tr>
        <w:trPr>
          <w:cantSplit/>
        </w:trPr>
        <w:tc>
          <w:tcPr>
            <w:tcW w:type="dxa" w:w="2304"/>
            <w:vAlign w:val="center"/>
          </w:tcPr>
          <w:p>
            <w:pPr>
              <w:pStyle w:val="Tablecopy"/>
            </w:pPr>
            <w:r/>
            <w:r>
              <w:rPr>
                <w:rFonts w:ascii="Inter" w:hAnsi="Inter" w:eastAsia="Inter" w:cs="Inter"/>
                <w:b w:val="0"/>
                <w:color w:val="18181B"/>
                <w:sz w:val="21"/>
              </w:rPr>
              <w:t>Feasibility</w:t>
            </w:r>
          </w:p>
        </w:tc>
        <w:tc>
          <w:tcPr>
            <w:tcW w:type="dxa" w:w="7632"/>
            <w:vAlign w:val="center"/>
          </w:tcPr>
          <w:p>
            <w:pPr>
              <w:pStyle w:val="Tablecopy"/>
            </w:pPr>
            <w:r/>
            <w:r>
              <w:rPr>
                <w:rFonts w:ascii="Inter" w:hAnsi="Inter" w:eastAsia="Inter" w:cs="Inter"/>
                <w:b w:val="0"/>
                <w:color w:val="18181B"/>
                <w:sz w:val="21"/>
              </w:rPr>
              <w:t>Run a focused technical investigation against the actual integration, data or infrastructure constraint.</w:t>
            </w:r>
          </w:p>
        </w:tc>
      </w:tr>
      <w:tr>
        <w:trPr>
          <w:cantSplit/>
        </w:trPr>
        <w:tc>
          <w:tcPr>
            <w:tcW w:type="dxa" w:w="2304"/>
            <w:vAlign w:val="center"/>
          </w:tcPr>
          <w:p>
            <w:pPr>
              <w:pStyle w:val="Tablecopy"/>
            </w:pPr>
            <w:r/>
            <w:r>
              <w:rPr>
                <w:rFonts w:ascii="Inter" w:hAnsi="Inter" w:eastAsia="Inter" w:cs="Inter"/>
                <w:b w:val="0"/>
                <w:color w:val="18181B"/>
                <w:sz w:val="21"/>
              </w:rPr>
              <w:t>Operating capacity</w:t>
            </w:r>
          </w:p>
        </w:tc>
        <w:tc>
          <w:tcPr>
            <w:tcW w:type="dxa" w:w="7632"/>
            <w:vAlign w:val="center"/>
          </w:tcPr>
          <w:p>
            <w:pPr>
              <w:pStyle w:val="Tablecopy"/>
            </w:pPr>
            <w:r/>
            <w:r>
              <w:rPr>
                <w:rFonts w:ascii="Inter" w:hAnsi="Inter" w:eastAsia="Inter" w:cs="Inter"/>
                <w:b w:val="0"/>
                <w:color w:val="18181B"/>
                <w:sz w:val="21"/>
              </w:rPr>
              <w:t>Rehearse the work that people must do; measure demand, effort, queues and failure recovery.</w:t>
            </w:r>
          </w:p>
        </w:tc>
      </w:tr>
      <w:tr>
        <w:trPr>
          <w:cantSplit/>
        </w:trPr>
        <w:tc>
          <w:tcPr>
            <w:tcW w:type="dxa" w:w="2304"/>
            <w:vAlign w:val="center"/>
          </w:tcPr>
          <w:p>
            <w:pPr>
              <w:pStyle w:val="Tablecopy"/>
            </w:pPr>
            <w:r/>
            <w:r>
              <w:rPr>
                <w:rFonts w:ascii="Inter" w:hAnsi="Inter" w:eastAsia="Inter" w:cs="Inter"/>
                <w:b w:val="0"/>
                <w:color w:val="18181B"/>
                <w:sz w:val="21"/>
              </w:rPr>
              <w:t>Adoption</w:t>
            </w:r>
          </w:p>
        </w:tc>
        <w:tc>
          <w:tcPr>
            <w:tcW w:type="dxa" w:w="7632"/>
            <w:vAlign w:val="center"/>
          </w:tcPr>
          <w:p>
            <w:pPr>
              <w:pStyle w:val="Tablecopy"/>
            </w:pPr>
            <w:r/>
            <w:r>
              <w:rPr>
                <w:rFonts w:ascii="Inter" w:hAnsi="Inter" w:eastAsia="Inter" w:cs="Inter"/>
                <w:b w:val="0"/>
                <w:color w:val="18181B"/>
                <w:sz w:val="21"/>
              </w:rPr>
              <w:t>Test a realistic path to first use and repeat use, with eligibility and recruitment conditions recorded.</w:t>
            </w:r>
          </w:p>
        </w:tc>
      </w:tr>
    </w:tbl>
    <w:p>
      <w:pPr>
        <w:pStyle w:val="Tablegap"/>
      </w:pPr>
    </w:p>
    <w:p>
      <w:pPr>
        <w:pStyle w:val="Heading2"/>
      </w:pPr>
      <w:r>
        <w:t>Define the result before conducting the test</w:t>
      </w:r>
    </w:p>
    <w:p>
      <w:r>
        <w:rPr>
          <w:rFonts w:ascii="Inter" w:hAnsi="Inter" w:eastAsia="Inter" w:cs="Inter"/>
          <w:b w:val="0"/>
          <w:color w:val="18181B"/>
        </w:rPr>
        <w:t>Record the claim, method, participants or operating conditions, and the evidence that would support or challenge it. Name the decision owner and the point at which the result is reviewed. If the result is ambiguous, decide what additional evidence would be worth obtaining.</w:t>
      </w:r>
    </w:p>
    <w:p>
      <w:pPr>
        <w:pStyle w:val="Fieldlabel"/>
      </w:pPr>
      <w:r>
        <w:rPr>
          <w:rFonts w:ascii="Inter" w:hAnsi="Inter" w:eastAsia="Inter" w:cs="Inter"/>
          <w:b/>
          <w:color w:val="18181B"/>
        </w:rPr>
        <w:t>Critical assumption • consequence if wrong</w:t>
      </w:r>
    </w:p>
    <w:sdt>
      <w:sdtPr>
        <w:alias w:val="Critical assumption • consequence if wrong"/>
        <w:tag w:val="field-ed4d22cead5d"/>
        <w:id w:val="39284589"/>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Investigation • evidence required • owner</w:t>
      </w:r>
    </w:p>
    <w:sdt>
      <w:sdtPr>
        <w:alias w:val="Investigation • evidence required • owner"/>
        <w:tag w:val="field-6871eb6a1240"/>
        <w:id w:val="3407656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Decision rule • review date • unresolved limitation</w:t>
      </w:r>
    </w:p>
    <w:sdt>
      <w:sdtPr>
        <w:alias w:val="Decision rule • review date • unresolved limitation"/>
        <w:tag w:val="field-8136428b9009"/>
        <w:id w:val="186655446"/>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A successful usability session does not establish market demand. A working integration does not establish commercial viability. Keep the conclusion within what the investigation can actually show.</w:t>
      </w:r>
    </w:p>
    <w:p>
      <w:pPr>
        <w:pStyle w:val="Eyebrow"/>
        <w:pageBreakBefore/>
      </w:pPr>
      <w:r>
        <w:rPr>
          <w:rFonts w:ascii="Inter" w:hAnsi="Inter" w:eastAsia="Inter" w:cs="Inter"/>
          <w:b w:val="0"/>
          <w:color w:val="18181B"/>
        </w:rPr>
        <w:t>04 / From evidence to release</w:t>
      </w:r>
    </w:p>
    <w:p>
      <w:pPr>
        <w:pStyle w:val="Heading1"/>
      </w:pPr>
      <w:r>
        <w:t>Plan delivery and dependencies</w:t>
      </w:r>
    </w:p>
    <w:p>
      <w:pPr>
        <w:pStyle w:val="Deck"/>
      </w:pPr>
      <w:r>
        <w:rPr>
          <w:rFonts w:ascii="Inter" w:hAnsi="Inter" w:eastAsia="Inter" w:cs="Inter"/>
          <w:b w:val="0"/>
          <w:color w:val="18181B"/>
        </w:rPr>
        <w:t>State estimate assumptions and commit around demonstrable outcomes.</w:t>
      </w:r>
    </w:p>
    <w:p>
      <w:pPr>
        <w:pStyle w:val="Heading2"/>
      </w:pPr>
      <w:r>
        <w:t>Sequence by dependency and learning</w:t>
      </w:r>
    </w:p>
    <w:p>
      <w:r>
        <w:rPr>
          <w:rFonts w:ascii="Inter" w:hAnsi="Inter" w:eastAsia="Inter" w:cs="Inter"/>
          <w:b w:val="0"/>
          <w:color w:val="18181B"/>
        </w:rPr>
        <w:t>Resolve the difficult contract, data and permission questions before dependent implementation expands. Deliver a thin path through the system early enough to reveal integration problems. Reserve time for operational rehearsal and user feedback; neither should depend on finishing every optional feature.</w:t>
      </w:r>
    </w:p>
    <w:p>
      <w:pPr>
        <w:pStyle w:val="Step"/>
      </w:pPr>
      <w:r>
        <w:rPr>
          <w:rFonts w:ascii="Inter" w:hAnsi="Inter" w:eastAsia="Inter" w:cs="Inter"/>
          <w:b/>
          <w:color w:val="18181B"/>
        </w:rPr>
        <w:t>Establish the foundation</w:t>
      </w:r>
    </w:p>
    <w:p>
      <w:r>
        <w:rPr>
          <w:rFonts w:ascii="Inter" w:hAnsi="Inter" w:eastAsia="Inter" w:cs="Inter"/>
          <w:b w:val="0"/>
          <w:color w:val="18181B"/>
        </w:rPr>
        <w:t>Confirm owners, environments, access, data permissions and the technical approach. Resolve the highest-consequence unknowns. Agree how the release will be measured and supported.</w:t>
      </w:r>
    </w:p>
    <w:p>
      <w:pPr>
        <w:pStyle w:val="Step"/>
      </w:pPr>
      <w:r>
        <w:rPr>
          <w:rFonts w:ascii="Inter" w:hAnsi="Inter" w:eastAsia="Inter" w:cs="Inter"/>
          <w:b/>
          <w:color w:val="18181B"/>
        </w:rPr>
        <w:t>Complete the operating slice</w:t>
      </w:r>
    </w:p>
    <w:p>
      <w:r>
        <w:rPr>
          <w:rFonts w:ascii="Inter" w:hAnsi="Inter" w:eastAsia="Inter" w:cs="Inter"/>
          <w:b w:val="0"/>
          <w:color w:val="18181B"/>
        </w:rPr>
        <w:t>Build the selected task from entry to durable result. Include the failure state, manual intervention and user communication needed to keep work accountable.</w:t>
      </w:r>
    </w:p>
    <w:p>
      <w:pPr>
        <w:pStyle w:val="Step"/>
      </w:pPr>
      <w:r>
        <w:rPr>
          <w:rFonts w:ascii="Inter" w:hAnsi="Inter" w:eastAsia="Inter" w:cs="Inter"/>
          <w:b/>
          <w:color w:val="18181B"/>
        </w:rPr>
        <w:t>Rehearse and release</w:t>
      </w:r>
    </w:p>
    <w:p>
      <w:r>
        <w:rPr>
          <w:rFonts w:ascii="Inter" w:hAnsi="Inter" w:eastAsia="Inter" w:cs="Inter"/>
          <w:b w:val="0"/>
          <w:color w:val="18181B"/>
        </w:rPr>
        <w:t>Verify acceptance evidence, run the support and recovery procedures, and prepare the first cohort. Start at an exposure level the team can observe and support.</w:t>
      </w:r>
    </w:p>
    <w:p>
      <w:pPr>
        <w:pStyle w:val="Heading2"/>
      </w:pPr>
      <w:r>
        <w:t>Manage dependency promises</w:t>
      </w:r>
    </w:p>
    <w:p>
      <w:r>
        <w:rPr>
          <w:rFonts w:ascii="Inter" w:hAnsi="Inter" w:eastAsia="Inter" w:cs="Inter"/>
          <w:b w:val="0"/>
          <w:color w:val="18181B"/>
        </w:rPr>
        <w:t>For each external dependency, record the needed outcome, supplying owner, required date and fallback. Escalate when a missing dependency changes the critical path. Do not quietly replace an unavailable capability with manual work unless its owner and capacity have been agreed.</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4032"/>
        <w:gridCol w:w="2304"/>
        <w:gridCol w:w="3600"/>
      </w:tblGrid>
      <w:tr>
        <w:trPr>
          <w:cantSplit/>
          <w:tblHeader/>
        </w:trPr>
        <w:tc>
          <w:tcPr>
            <w:tcW w:type="dxa" w:w="4032"/>
            <w:vAlign w:val="center"/>
            <w:shd w:fill="F4F4F5"/>
          </w:tcPr>
          <w:p>
            <w:pPr>
              <w:pStyle w:val="Tablecopy"/>
            </w:pPr>
            <w:r/>
            <w:r>
              <w:rPr>
                <w:rFonts w:ascii="Inter" w:hAnsi="Inter" w:eastAsia="Inter" w:cs="Inter"/>
                <w:b/>
                <w:color w:val="18181B"/>
                <w:sz w:val="21"/>
              </w:rPr>
              <w:t>Milestone / evidence</w:t>
            </w:r>
          </w:p>
        </w:tc>
        <w:tc>
          <w:tcPr>
            <w:tcW w:type="dxa" w:w="2304"/>
            <w:vAlign w:val="center"/>
            <w:shd w:fill="F4F4F5"/>
          </w:tcPr>
          <w:p>
            <w:pPr>
              <w:pStyle w:val="Tablecopy"/>
            </w:pPr>
            <w:r/>
            <w:r>
              <w:rPr>
                <w:rFonts w:ascii="Inter" w:hAnsi="Inter" w:eastAsia="Inter" w:cs="Inter"/>
                <w:b/>
                <w:color w:val="18181B"/>
                <w:sz w:val="21"/>
              </w:rPr>
              <w:t>Accountable owner</w:t>
            </w:r>
          </w:p>
        </w:tc>
        <w:tc>
          <w:tcPr>
            <w:tcW w:type="dxa" w:w="3600"/>
            <w:vAlign w:val="center"/>
            <w:shd w:fill="F4F4F5"/>
          </w:tcPr>
          <w:p>
            <w:pPr>
              <w:pStyle w:val="Tablecopy"/>
            </w:pPr>
            <w:r/>
            <w:r>
              <w:rPr>
                <w:rFonts w:ascii="Inter" w:hAnsi="Inter" w:eastAsia="Inter" w:cs="Inter"/>
                <w:b/>
                <w:color w:val="18181B"/>
                <w:sz w:val="21"/>
              </w:rPr>
              <w:t>Dependency / decision date</w:t>
            </w:r>
          </w:p>
        </w:tc>
      </w:tr>
      <w:tr>
        <w:trPr>
          <w:cantSplit/>
        </w:trPr>
        <w:tc>
          <w:tcPr>
            <w:tcW w:type="dxa" w:w="4032"/>
            <w:vAlign w:val="center"/>
          </w:tcPr>
          <w:p>
            <w:pPr>
              <w:pStyle w:val="Tablecopy"/>
            </w:pPr>
            <w:r/>
            <w:r>
              <w:rPr>
                <w:rFonts w:ascii="Inter" w:hAnsi="Inter" w:eastAsia="Inter" w:cs="Inter"/>
                <w:b w:val="0"/>
                <w:color w:val="18181B"/>
                <w:sz w:val="21"/>
              </w:rPr>
            </w:r>
          </w:p>
        </w:tc>
        <w:tc>
          <w:tcPr>
            <w:tcW w:type="dxa" w:w="2304"/>
            <w:vAlign w:val="center"/>
          </w:tcPr>
          <w:p>
            <w:pPr>
              <w:pStyle w:val="Tablecopy"/>
            </w:pPr>
            <w:r/>
            <w:r>
              <w:rPr>
                <w:rFonts w:ascii="Inter" w:hAnsi="Inter" w:eastAsia="Inter" w:cs="Inter"/>
                <w:b w:val="0"/>
                <w:color w:val="18181B"/>
                <w:sz w:val="21"/>
              </w:rPr>
            </w:r>
          </w:p>
        </w:tc>
        <w:tc>
          <w:tcPr>
            <w:tcW w:type="dxa" w:w="3600"/>
            <w:vAlign w:val="center"/>
          </w:tcPr>
          <w:p>
            <w:pPr>
              <w:pStyle w:val="Tablecopy"/>
            </w:pPr>
            <w:r/>
            <w:r>
              <w:rPr>
                <w:rFonts w:ascii="Inter" w:hAnsi="Inter" w:eastAsia="Inter" w:cs="Inter"/>
                <w:b w:val="0"/>
                <w:color w:val="18181B"/>
                <w:sz w:val="21"/>
              </w:rPr>
            </w:r>
          </w:p>
        </w:tc>
      </w:tr>
      <w:tr>
        <w:trPr>
          <w:cantSplit/>
        </w:trPr>
        <w:tc>
          <w:tcPr>
            <w:tcW w:type="dxa" w:w="4032"/>
            <w:vAlign w:val="center"/>
          </w:tcPr>
          <w:p>
            <w:pPr>
              <w:pStyle w:val="Tablecopy"/>
            </w:pPr>
            <w:r/>
            <w:r>
              <w:rPr>
                <w:rFonts w:ascii="Inter" w:hAnsi="Inter" w:eastAsia="Inter" w:cs="Inter"/>
                <w:b w:val="0"/>
                <w:color w:val="18181B"/>
                <w:sz w:val="21"/>
              </w:rPr>
            </w:r>
          </w:p>
        </w:tc>
        <w:tc>
          <w:tcPr>
            <w:tcW w:type="dxa" w:w="2304"/>
            <w:vAlign w:val="center"/>
          </w:tcPr>
          <w:p>
            <w:pPr>
              <w:pStyle w:val="Tablecopy"/>
            </w:pPr>
            <w:r/>
            <w:r>
              <w:rPr>
                <w:rFonts w:ascii="Inter" w:hAnsi="Inter" w:eastAsia="Inter" w:cs="Inter"/>
                <w:b w:val="0"/>
                <w:color w:val="18181B"/>
                <w:sz w:val="21"/>
              </w:rPr>
            </w:r>
          </w:p>
        </w:tc>
        <w:tc>
          <w:tcPr>
            <w:tcW w:type="dxa" w:w="3600"/>
            <w:vAlign w:val="center"/>
          </w:tcPr>
          <w:p>
            <w:pPr>
              <w:pStyle w:val="Tablecopy"/>
            </w:pPr>
            <w:r/>
            <w:r>
              <w:rPr>
                <w:rFonts w:ascii="Inter" w:hAnsi="Inter" w:eastAsia="Inter" w:cs="Inter"/>
                <w:b w:val="0"/>
                <w:color w:val="18181B"/>
                <w:sz w:val="21"/>
              </w:rPr>
            </w:r>
          </w:p>
        </w:tc>
      </w:tr>
      <w:tr>
        <w:trPr>
          <w:cantSplit/>
        </w:trPr>
        <w:tc>
          <w:tcPr>
            <w:tcW w:type="dxa" w:w="4032"/>
            <w:vAlign w:val="center"/>
          </w:tcPr>
          <w:p>
            <w:pPr>
              <w:pStyle w:val="Tablecopy"/>
            </w:pPr>
            <w:r/>
            <w:r>
              <w:rPr>
                <w:rFonts w:ascii="Inter" w:hAnsi="Inter" w:eastAsia="Inter" w:cs="Inter"/>
                <w:b w:val="0"/>
                <w:color w:val="18181B"/>
                <w:sz w:val="21"/>
              </w:rPr>
            </w:r>
          </w:p>
        </w:tc>
        <w:tc>
          <w:tcPr>
            <w:tcW w:type="dxa" w:w="2304"/>
            <w:vAlign w:val="center"/>
          </w:tcPr>
          <w:p>
            <w:pPr>
              <w:pStyle w:val="Tablecopy"/>
            </w:pPr>
            <w:r/>
            <w:r>
              <w:rPr>
                <w:rFonts w:ascii="Inter" w:hAnsi="Inter" w:eastAsia="Inter" w:cs="Inter"/>
                <w:b w:val="0"/>
                <w:color w:val="18181B"/>
                <w:sz w:val="21"/>
              </w:rPr>
            </w:r>
          </w:p>
        </w:tc>
        <w:tc>
          <w:tcPr>
            <w:tcW w:type="dxa" w:w="3600"/>
            <w:vAlign w:val="center"/>
          </w:tcPr>
          <w:p>
            <w:pPr>
              <w:pStyle w:val="Tablecopy"/>
            </w:pPr>
            <w:r/>
            <w:r>
              <w:rPr>
                <w:rFonts w:ascii="Inter" w:hAnsi="Inter" w:eastAsia="Inter" w:cs="Inter"/>
                <w:b w:val="0"/>
                <w:color w:val="18181B"/>
                <w:sz w:val="21"/>
              </w:rPr>
            </w:r>
          </w:p>
        </w:tc>
      </w:tr>
    </w:tbl>
    <w:p>
      <w:pPr>
        <w:pStyle w:val="Tablegap"/>
      </w:pPr>
    </w:p>
    <w:p>
      <w:pPr>
        <w:pStyle w:val="Fieldlabel"/>
      </w:pPr>
      <w:r>
        <w:rPr>
          <w:rFonts w:ascii="Inter" w:hAnsi="Inter" w:eastAsia="Inter" w:cs="Inter"/>
          <w:b/>
          <w:color w:val="18181B"/>
        </w:rPr>
        <w:t>Team and operating capacity • budget boundary</w:t>
      </w:r>
    </w:p>
    <w:sdt>
      <w:sdtPr>
        <w:alias w:val="Team and operating capacity • budget boundary"/>
        <w:tag w:val="field-e72ea4af553b"/>
        <w:id w:val="54533242"/>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Scope exchange or contingency if the plan cannot hold</w:t>
      </w:r>
    </w:p>
    <w:sdt>
      <w:sdtPr>
        <w:alias w:val="Scope exchange or contingency if the plan cannot hold"/>
        <w:tag w:val="field-8a77c5ef808a"/>
        <w:id w:val="82863829"/>
      </w:sdtPr>
      <w:sdtContent>
        <w:p>
          <w:pPr>
            <w:pStyle w:val="Entry"/>
            <w:pBdr>
              <w:bottom w:val="single" w:sz="4" w:color="D4D4D8" w:space="1"/>
            </w:pBdr>
          </w:pPr>
          <w:r>
            <w:rPr>
              <w:rFonts w:ascii="Inter" w:hAnsi="Inter" w:eastAsia="Inter" w:cs="Inter"/>
              <w:color w:val="18181B"/>
            </w:rPr>
            <w:t xml:space="preserve"> </w:t>
          </w:r>
        </w:p>
      </w:sdtContent>
    </w:sdt>
    <w:p>
      <w:pPr>
        <w:pStyle w:val="Eyebrow"/>
        <w:pageBreakBefore/>
      </w:pPr>
      <w:r>
        <w:rPr>
          <w:rFonts w:ascii="Inter" w:hAnsi="Inter" w:eastAsia="Inter" w:cs="Inter"/>
          <w:b w:val="0"/>
          <w:color w:val="18181B"/>
        </w:rPr>
        <w:t>05 / From evidence to release</w:t>
      </w:r>
    </w:p>
    <w:p>
      <w:pPr>
        <w:pStyle w:val="Heading1"/>
      </w:pPr>
      <w:r>
        <w:t>Set the release and operating gates</w:t>
      </w:r>
    </w:p>
    <w:p>
      <w:pPr>
        <w:pStyle w:val="Deck"/>
      </w:pPr>
      <w:r>
        <w:rPr>
          <w:rFonts w:ascii="Inter" w:hAnsi="Inter" w:eastAsia="Inter" w:cs="Inter"/>
          <w:b w:val="0"/>
          <w:color w:val="18181B"/>
        </w:rPr>
        <w:t>A small release still needs a reliable way to detect trouble, respond and recover.</w:t>
      </w:r>
    </w:p>
    <w:p>
      <w:pPr>
        <w:pStyle w:val="Heading2"/>
      </w:pPr>
      <w:r>
        <w:t>Verify readiness across the real journey</w:t>
      </w:r>
    </w:p>
    <w:p>
      <w:pPr>
        <w:pStyle w:val="Checklist"/>
        <w:ind w:left="173" w:hanging="173"/>
      </w:pPr>
      <w:r>
        <w:rPr>
          <w:rFonts w:ascii="Inter" w:hAnsi="Inter" w:eastAsia="Inter" w:cs="Inter"/>
          <w:b w:val="0"/>
          <w:color w:val="18181B"/>
        </w:rPr>
        <w:t>□  The intended user can complete the task, receive confirmation and understand pending or failed work.</w:t>
      </w:r>
    </w:p>
    <w:p>
      <w:pPr>
        <w:pStyle w:val="Checklist"/>
        <w:ind w:left="173" w:hanging="173"/>
      </w:pPr>
      <w:r>
        <w:rPr>
          <w:rFonts w:ascii="Inter" w:hAnsi="Inter" w:eastAsia="Inter" w:cs="Inter"/>
          <w:b w:val="0"/>
          <w:color w:val="18181B"/>
        </w:rPr>
        <w:t>□  Permissions, sensitive data handling and necessary consent or policy decisions are implemented and reviewed.</w:t>
      </w:r>
    </w:p>
    <w:p>
      <w:pPr>
        <w:pStyle w:val="Checklist"/>
        <w:ind w:left="173" w:hanging="173"/>
      </w:pPr>
      <w:r>
        <w:rPr>
          <w:rFonts w:ascii="Inter" w:hAnsi="Inter" w:eastAsia="Inter" w:cs="Inter"/>
          <w:b w:val="0"/>
          <w:color w:val="18181B"/>
        </w:rPr>
        <w:t>□  Critical paths have appropriate accessibility and compatibility checks, with unresolved barriers owned.</w:t>
      </w:r>
    </w:p>
    <w:p>
      <w:pPr>
        <w:pStyle w:val="Checklist"/>
        <w:ind w:left="173" w:hanging="173"/>
      </w:pPr>
      <w:r>
        <w:rPr>
          <w:rFonts w:ascii="Inter" w:hAnsi="Inter" w:eastAsia="Inter" w:cs="Inter"/>
          <w:b w:val="0"/>
          <w:color w:val="18181B"/>
        </w:rPr>
        <w:t>□  Telemetry distinguishes entry, progress, completion and failure without collecting unnecessary information.</w:t>
      </w:r>
    </w:p>
    <w:p>
      <w:pPr>
        <w:pStyle w:val="Checklist"/>
        <w:ind w:left="173" w:hanging="173"/>
      </w:pPr>
      <w:r>
        <w:rPr>
          <w:rFonts w:ascii="Inter" w:hAnsi="Inter" w:eastAsia="Inter" w:cs="Inter"/>
          <w:b w:val="0"/>
          <w:color w:val="18181B"/>
        </w:rPr>
        <w:t>□  Support can identify the affected record, explain its state and route a correction.</w:t>
      </w:r>
    </w:p>
    <w:p>
      <w:pPr>
        <w:pStyle w:val="Checklist"/>
        <w:ind w:left="173" w:hanging="173"/>
      </w:pPr>
      <w:r>
        <w:rPr>
          <w:rFonts w:ascii="Inter" w:hAnsi="Inter" w:eastAsia="Inter" w:cs="Inter"/>
          <w:b w:val="0"/>
          <w:color w:val="18181B"/>
        </w:rPr>
        <w:t>□  Recovery and rollback have been rehearsed; irreversible changes have an approved mitigation.</w:t>
      </w:r>
    </w:p>
    <w:p>
      <w:pPr>
        <w:pStyle w:val="Heading2"/>
      </w:pPr>
      <w:r>
        <w:t>Define who can halt exposure</w:t>
      </w:r>
    </w:p>
    <w:p>
      <w:r>
        <w:rPr>
          <w:rFonts w:ascii="Inter" w:hAnsi="Inter" w:eastAsia="Inter" w:cs="Inter"/>
          <w:b w:val="0"/>
          <w:color w:val="18181B"/>
        </w:rPr>
        <w:t>Name the release decision maker, the person monitoring the first use and the responder for each critical dependency. Set stop conditions for customer harm, data integrity, security and inability to support demand. Use thresholds that match the service’s exposure; record their rationale.</w:t>
      </w:r>
    </w:p>
    <w:p>
      <w:r>
        <w:rPr>
          <w:rFonts w:ascii="Inter" w:hAnsi="Inter" w:eastAsia="Inter" w:cs="Inter"/>
          <w:b w:val="0"/>
          <w:color w:val="18181B"/>
        </w:rPr>
        <w:t>Decide what happens to in-flight work if the release is paused. A feature switch may hide an interface without reversing a transaction or migration. The recovery plan must address users who have already started and data that has already changed.</w:t>
      </w:r>
    </w:p>
    <w:p>
      <w:pPr>
        <w:pStyle w:val="Fieldlabel"/>
      </w:pPr>
      <w:r>
        <w:rPr>
          <w:rFonts w:ascii="Inter" w:hAnsi="Inter" w:eastAsia="Inter" w:cs="Inter"/>
          <w:b/>
          <w:color w:val="18181B"/>
        </w:rPr>
        <w:t>Initial release cohort • support coverage • monitoring owner</w:t>
      </w:r>
    </w:p>
    <w:sdt>
      <w:sdtPr>
        <w:alias w:val="Initial release cohort • support coverage • monitoring owner"/>
        <w:tag w:val="field-c303258e3f11"/>
        <w:id w:val="5467008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Stop conditions • halt authority • recovery route</w:t>
      </w:r>
    </w:p>
    <w:sdt>
      <w:sdtPr>
        <w:alias w:val="Stop conditions • halt authority • recovery route"/>
        <w:tag w:val="field-ce9d5f049622"/>
        <w:id w:val="195739409"/>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Outstanding release condition • owner • expiry</w:t>
      </w:r>
    </w:p>
    <w:sdt>
      <w:sdtPr>
        <w:alias w:val="Outstanding release condition • owner • expiry"/>
        <w:tag w:val="field-ec2d09745fd1"/>
        <w:id w:val="211288217"/>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Release decision</w:t>
      </w:r>
    </w:p>
    <w:p>
      <w:r>
        <w:rPr>
          <w:rFonts w:ascii="Inter" w:hAnsi="Inter" w:eastAsia="Inter" w:cs="Inter"/>
          <w:b w:val="0"/>
          <w:color w:val="18181B"/>
        </w:rPr>
        <w:t>Authorize the identified build and scope only after the evidence is reviewed. Record approved, approved with named conditions, or held. Acceptance of a risk must identify its consequence and owner; it cannot turn an untested control into a tested one.</w:t>
      </w:r>
    </w:p>
    <w:p>
      <w:pPr>
        <w:pStyle w:val="Eyebrow"/>
        <w:pageBreakBefore/>
      </w:pPr>
      <w:r>
        <w:rPr>
          <w:rFonts w:ascii="Inter" w:hAnsi="Inter" w:eastAsia="Inter" w:cs="Inter"/>
          <w:b w:val="0"/>
          <w:color w:val="18181B"/>
        </w:rPr>
        <w:t>06 / From evidence to release</w:t>
      </w:r>
    </w:p>
    <w:p>
      <w:pPr>
        <w:pStyle w:val="Heading1"/>
      </w:pPr>
      <w:r>
        <w:t>Decide the next investment</w:t>
      </w:r>
    </w:p>
    <w:p>
      <w:pPr>
        <w:pStyle w:val="Deck"/>
      </w:pPr>
      <w:r>
        <w:rPr>
          <w:rFonts w:ascii="Inter" w:hAnsi="Inter" w:eastAsia="Inter" w:cs="Inter"/>
          <w:b w:val="0"/>
          <w:color w:val="18181B"/>
        </w:rPr>
        <w:t>Use the release to make a choice, not to extend delivery by default.</w:t>
      </w:r>
    </w:p>
    <w:p>
      <w:pPr>
        <w:pStyle w:val="Heading2"/>
      </w:pPr>
      <w:r>
        <w:t>Read outcomes alongside operating cost</w:t>
      </w:r>
    </w:p>
    <w:p>
      <w:r>
        <w:rPr>
          <w:rFonts w:ascii="Inter" w:hAnsi="Inter" w:eastAsia="Inter" w:cs="Inter"/>
          <w:b w:val="0"/>
          <w:color w:val="18181B"/>
        </w:rPr>
        <w:t>Compare observed behavior with the question agreed at the start. Include who reached the product, who could complete the task, what help they needed and what happened afterwards. Record recruitment limits and missing data so that a narrow pilot is not presented as evidence for a broader population.</w:t>
      </w:r>
    </w:p>
    <w:p>
      <w:r>
        <w:rPr>
          <w:rFonts w:ascii="Inter" w:hAnsi="Inter" w:eastAsia="Inter" w:cs="Inter"/>
          <w:b w:val="0"/>
          <w:color w:val="18181B"/>
        </w:rPr>
        <w:t>Count the work outside the interface: support, manual processing, reconciliation, exceptions and maintenance. An outcome that depends on unsustainable effort needs a different operating model before expansion. Review unresolved control and accessibility issues alongside user demand.</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1872"/>
        <w:gridCol w:w="8064"/>
      </w:tblGrid>
      <w:tr>
        <w:trPr>
          <w:cantSplit/>
          <w:tblHeader/>
        </w:trPr>
        <w:tc>
          <w:tcPr>
            <w:tcW w:type="dxa" w:w="1872"/>
            <w:vAlign w:val="center"/>
            <w:shd w:fill="F4F4F5"/>
          </w:tcPr>
          <w:p>
            <w:pPr>
              <w:pStyle w:val="Tablecopy"/>
            </w:pPr>
            <w:r/>
            <w:r>
              <w:rPr>
                <w:rFonts w:ascii="Inter" w:hAnsi="Inter" w:eastAsia="Inter" w:cs="Inter"/>
                <w:b/>
                <w:color w:val="18181B"/>
                <w:sz w:val="21"/>
              </w:rPr>
              <w:t>Decision</w:t>
            </w:r>
          </w:p>
        </w:tc>
        <w:tc>
          <w:tcPr>
            <w:tcW w:type="dxa" w:w="8064"/>
            <w:vAlign w:val="center"/>
            <w:shd w:fill="F4F4F5"/>
          </w:tcPr>
          <w:p>
            <w:pPr>
              <w:pStyle w:val="Tablecopy"/>
            </w:pPr>
            <w:r/>
            <w:r>
              <w:rPr>
                <w:rFonts w:ascii="Inter" w:hAnsi="Inter" w:eastAsia="Inter" w:cs="Inter"/>
                <w:b/>
                <w:color w:val="18181B"/>
                <w:sz w:val="21"/>
              </w:rPr>
              <w:t>Evidence needed</w:t>
            </w:r>
          </w:p>
        </w:tc>
      </w:tr>
      <w:tr>
        <w:trPr>
          <w:cantSplit/>
        </w:trPr>
        <w:tc>
          <w:tcPr>
            <w:tcW w:type="dxa" w:w="1872"/>
            <w:vAlign w:val="center"/>
          </w:tcPr>
          <w:p>
            <w:pPr>
              <w:pStyle w:val="Tablecopy"/>
            </w:pPr>
            <w:r/>
            <w:r>
              <w:rPr>
                <w:rFonts w:ascii="Inter" w:hAnsi="Inter" w:eastAsia="Inter" w:cs="Inter"/>
                <w:b w:val="0"/>
                <w:color w:val="18181B"/>
                <w:sz w:val="21"/>
              </w:rPr>
              <w:t>Expand</w:t>
            </w:r>
          </w:p>
        </w:tc>
        <w:tc>
          <w:tcPr>
            <w:tcW w:type="dxa" w:w="8064"/>
            <w:vAlign w:val="center"/>
          </w:tcPr>
          <w:p>
            <w:pPr>
              <w:pStyle w:val="Tablecopy"/>
            </w:pPr>
            <w:r/>
            <w:r>
              <w:rPr>
                <w:rFonts w:ascii="Inter" w:hAnsi="Inter" w:eastAsia="Inter" w:cs="Inter"/>
                <w:b w:val="0"/>
                <w:color w:val="18181B"/>
                <w:sz w:val="21"/>
              </w:rPr>
              <w:t>The intended outcome is credible; the operating model, controls and next investment are supportable.</w:t>
            </w:r>
          </w:p>
        </w:tc>
      </w:tr>
      <w:tr>
        <w:trPr>
          <w:cantSplit/>
        </w:trPr>
        <w:tc>
          <w:tcPr>
            <w:tcW w:type="dxa" w:w="1872"/>
            <w:vAlign w:val="center"/>
          </w:tcPr>
          <w:p>
            <w:pPr>
              <w:pStyle w:val="Tablecopy"/>
            </w:pPr>
            <w:r/>
            <w:r>
              <w:rPr>
                <w:rFonts w:ascii="Inter" w:hAnsi="Inter" w:eastAsia="Inter" w:cs="Inter"/>
                <w:b w:val="0"/>
                <w:color w:val="18181B"/>
                <w:sz w:val="21"/>
              </w:rPr>
              <w:t>Refine</w:t>
            </w:r>
          </w:p>
        </w:tc>
        <w:tc>
          <w:tcPr>
            <w:tcW w:type="dxa" w:w="8064"/>
            <w:vAlign w:val="center"/>
          </w:tcPr>
          <w:p>
            <w:pPr>
              <w:pStyle w:val="Tablecopy"/>
            </w:pPr>
            <w:r/>
            <w:r>
              <w:rPr>
                <w:rFonts w:ascii="Inter" w:hAnsi="Inter" w:eastAsia="Inter" w:cs="Inter"/>
                <w:b w:val="0"/>
                <w:color w:val="18181B"/>
                <w:sz w:val="21"/>
              </w:rPr>
              <w:t>The direction remains credible, but a specific obstacle or assumption needs another bounded investigation.</w:t>
            </w:r>
          </w:p>
        </w:tc>
      </w:tr>
      <w:tr>
        <w:trPr>
          <w:cantSplit/>
        </w:trPr>
        <w:tc>
          <w:tcPr>
            <w:tcW w:type="dxa" w:w="1872"/>
            <w:vAlign w:val="center"/>
          </w:tcPr>
          <w:p>
            <w:pPr>
              <w:pStyle w:val="Tablecopy"/>
            </w:pPr>
            <w:r/>
            <w:r>
              <w:rPr>
                <w:rFonts w:ascii="Inter" w:hAnsi="Inter" w:eastAsia="Inter" w:cs="Inter"/>
                <w:b w:val="0"/>
                <w:color w:val="18181B"/>
                <w:sz w:val="21"/>
              </w:rPr>
              <w:t>Change direction</w:t>
            </w:r>
          </w:p>
        </w:tc>
        <w:tc>
          <w:tcPr>
            <w:tcW w:type="dxa" w:w="8064"/>
            <w:vAlign w:val="center"/>
          </w:tcPr>
          <w:p>
            <w:pPr>
              <w:pStyle w:val="Tablecopy"/>
            </w:pPr>
            <w:r/>
            <w:r>
              <w:rPr>
                <w:rFonts w:ascii="Inter" w:hAnsi="Inter" w:eastAsia="Inter" w:cs="Inter"/>
                <w:b w:val="0"/>
                <w:color w:val="18181B"/>
                <w:sz w:val="21"/>
              </w:rPr>
              <w:t>Evidence challenges the selected user, task or delivery approach; define the new question before more build.</w:t>
            </w:r>
          </w:p>
        </w:tc>
      </w:tr>
      <w:tr>
        <w:trPr>
          <w:cantSplit/>
        </w:trPr>
        <w:tc>
          <w:tcPr>
            <w:tcW w:type="dxa" w:w="1872"/>
            <w:vAlign w:val="center"/>
          </w:tcPr>
          <w:p>
            <w:pPr>
              <w:pStyle w:val="Tablecopy"/>
            </w:pPr>
            <w:r/>
            <w:r>
              <w:rPr>
                <w:rFonts w:ascii="Inter" w:hAnsi="Inter" w:eastAsia="Inter" w:cs="Inter"/>
                <w:b w:val="0"/>
                <w:color w:val="18181B"/>
                <w:sz w:val="21"/>
              </w:rPr>
              <w:t>Stop</w:t>
            </w:r>
          </w:p>
        </w:tc>
        <w:tc>
          <w:tcPr>
            <w:tcW w:type="dxa" w:w="8064"/>
            <w:vAlign w:val="center"/>
          </w:tcPr>
          <w:p>
            <w:pPr>
              <w:pStyle w:val="Tablecopy"/>
            </w:pPr>
            <w:r/>
            <w:r>
              <w:rPr>
                <w:rFonts w:ascii="Inter" w:hAnsi="Inter" w:eastAsia="Inter" w:cs="Inter"/>
                <w:b w:val="0"/>
                <w:color w:val="18181B"/>
                <w:sz w:val="21"/>
              </w:rPr>
              <w:t>The likely value or feasibility does not justify further investment under the current conditions.</w:t>
            </w:r>
          </w:p>
        </w:tc>
      </w:tr>
    </w:tbl>
    <w:p>
      <w:pPr>
        <w:pStyle w:val="Tablegap"/>
      </w:pPr>
    </w:p>
    <w:p>
      <w:pPr>
        <w:pStyle w:val="Heading2"/>
      </w:pPr>
      <w:r>
        <w:t>Decision record</w:t>
      </w:r>
    </w:p>
    <w:p>
      <w:pPr>
        <w:pStyle w:val="Fieldlabel"/>
      </w:pPr>
      <w:r>
        <w:rPr>
          <w:rFonts w:ascii="Inter" w:hAnsi="Inter" w:eastAsia="Inter" w:cs="Inter"/>
          <w:b/>
          <w:color w:val="18181B"/>
        </w:rPr>
        <w:t>Observed outcome • evidence period • limitations</w:t>
      </w:r>
    </w:p>
    <w:sdt>
      <w:sdtPr>
        <w:alias w:val="Observed outcome • evidence period • limitations"/>
        <w:tag w:val="field-abd36a969350"/>
        <w:id w:val="53495414"/>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Operating effort and material unresolved risk</w:t>
      </w:r>
    </w:p>
    <w:sdt>
      <w:sdtPr>
        <w:alias w:val="Operating effort and material unresolved risk"/>
        <w:tag w:val="field-b8513de75d2e"/>
        <w:id w:val="257929049"/>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Decision • rationale • accountable approver</w:t>
      </w:r>
    </w:p>
    <w:sdt>
      <w:sdtPr>
        <w:alias w:val="Decision • rationale • accountable approver"/>
        <w:tag w:val="field-b90810a62f44"/>
        <w:id w:val="8326422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Next commitment • owner • review trigger</w:t>
      </w:r>
    </w:p>
    <w:sdt>
      <w:sdtPr>
        <w:alias w:val="Next commitment • owner • review trigger"/>
        <w:tag w:val="field-77f0fb77d09d"/>
        <w:id w:val="192844941"/>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Carry forward what was learned, the requirements that remain valid and the work that should be retired. If the product continues, transfer support ownership and remove temporary arrangements deliberately.</w:t>
      </w:r>
    </w:p>
    <w:sectPr w:rsidR="00FC693F" w:rsidRPr="0006063C" w:rsidSect="00034616">
      <w:headerReference w:type="default" r:id="rId9"/>
      <w:footerReference w:type="default" r:id="rId10"/>
      <w:pgSz w:w="12240" w:h="15840"/>
      <w:pgMar w:top="1310" w:right="1152" w:bottom="1008" w:left="1152"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family w:val="swiss"/>
    <w:embedRegular r:id="rIdInter1" w:fontKey="{FE37269C-98FA-4448-97CA-1841CAFB539C}"/>
    <w:embedBold r:id="rIdInter2" w:fontKey="{077DF79D-8170-4BC9-B477-80CA8DC1255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rPr>
        <w:rFonts w:ascii="Inter" w:hAnsi="Inter" w:eastAsia="Inter" w:cs="Inter"/>
        <w:b w:val="0"/>
        <w:color w:val="52525B"/>
        <w:sz w:val="16"/>
      </w:rPr>
      <w:t>© MT BYTES</w:t>
    </w:r>
    <w:r>
      <w:rPr>
        <w:rFonts w:ascii="Inter" w:hAnsi="Inter" w:eastAsia="Inter" w:cs="Inter"/>
        <w:color w:val="18181B"/>
        <w:sz w:val="16"/>
      </w:rPr>
      <w:tab/>
    </w:r>
    <w:r>
      <w:fldChar w:fldCharType="begin"/>
    </w:r>
    <w:r>
      <w:instrText> PAGE </w:instrText>
    </w:r>
    <w:r>
      <w:rPr>
        <w:rFonts w:ascii="Inter" w:hAnsi="Inter" w:eastAsia="Inter" w:cs="Inter"/>
        <w:b w:val="0"/>
        <w:color w:val="52525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36" w:val="right"/>
      </w:tabs>
      <w:spacing w:after="0"/>
    </w:pPr>
    <w:r>
      <w:drawing>
        <wp:inline xmlns:a="http://schemas.openxmlformats.org/drawingml/2006/main" xmlns:pic="http://schemas.openxmlformats.org/drawingml/2006/picture">
          <wp:extent cx="1307592" cy="345695"/>
          <wp:docPr id="1" name="Picture 1" descr="MT BYTES — Innovation in Motion"/>
          <wp:cNvGraphicFramePr>
            <a:graphicFrameLocks noChangeAspect="1"/>
          </wp:cNvGraphicFramePr>
          <a:graphic>
            <a:graphicData uri="http://schemas.openxmlformats.org/drawingml/2006/picture">
              <pic:pic>
                <pic:nvPicPr>
                  <pic:cNvPr id="0" name="mtbytes-logo.png"/>
                  <pic:cNvPicPr/>
                </pic:nvPicPr>
                <pic:blipFill>
                  <a:blip r:embed="rId1"/>
                  <a:stretch>
                    <a:fillRect/>
                  </a:stretch>
                </pic:blipFill>
                <pic:spPr>
                  <a:xfrm>
                    <a:off x="0" y="0"/>
                    <a:ext cx="1307592" cy="345695"/>
                  </a:xfrm>
                  <a:prstGeom prst="rect"/>
                </pic:spPr>
              </pic:pic>
            </a:graphicData>
          </a:graphic>
        </wp:inline>
      </w:drawing>
    </w:r>
    <w:r>
      <w:rPr>
        <w:rFonts w:ascii="Inter" w:hAnsi="Inter" w:eastAsia="Inter" w:cs="Inter"/>
        <w:b w:val="0"/>
        <w:color w:val="000000"/>
        <w:sz w:val="16"/>
      </w:rPr>
      <w:tab/>
      <w:t>MVP Planning Blueprint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00"/>
    </w:pPr>
    <w:rPr>
      <w:rFonts w:ascii="Inter" w:hAnsi="Inter" w:eastAsia="Inter" w:cs="Inter"/>
      <w:color w:val="18181B"/>
      <w:sz w:val="22"/>
    </w:rPr>
  </w:style>
  <w:style w:type="paragraph" w:styleId="Header">
    <w:name w:val="header"/>
    <w:basedOn w:val="Normal"/>
    <w:link w:val="HeaderChar"/>
    <w:uiPriority w:val="99"/>
    <w:unhideWhenUsed/>
    <w:rsid w:val="00E618BF"/>
    <w:pPr>
      <w:widowControl/>
      <w:spacing w:after="0" w:line="240" w:lineRule="auto"/>
    </w:pPr>
    <w:rPr>
      <w:rFonts w:ascii="Inter" w:hAnsi="Inter" w:eastAsia="Inter" w:cs="Inter"/>
      <w:color w:val="000000"/>
    </w:rPr>
  </w:style>
  <w:style w:type="character" w:customStyle="1" w:styleId="HeaderChar">
    <w:name w:val="Header Char"/>
    <w:basedOn w:val="DefaultParagraphFont"/>
    <w:link w:val="Header"/>
    <w:uiPriority w:val="99"/>
    <w:rsid w:val="00E618BF"/>
    <w:rPr>
      <w:rFonts w:ascii="Inter" w:hAnsi="Inter" w:eastAsia="Inter" w:cs="Inter"/>
      <w:color w:val="000000"/>
    </w:rPr>
  </w:style>
  <w:style w:type="paragraph" w:styleId="Footer">
    <w:name w:val="footer"/>
    <w:basedOn w:val="Normal"/>
    <w:link w:val="FooterChar"/>
    <w:uiPriority w:val="99"/>
    <w:unhideWhenUsed/>
    <w:rsid w:val="00E618BF"/>
    <w:pPr>
      <w:widowControl/>
      <w:spacing w:after="0" w:line="240" w:lineRule="auto"/>
    </w:pPr>
    <w:rPr>
      <w:rFonts w:ascii="Inter" w:hAnsi="Inter" w:eastAsia="Inter" w:cs="Inter"/>
      <w:color w:val="000000"/>
    </w:rPr>
  </w:style>
  <w:style w:type="character" w:customStyle="1" w:styleId="FooterChar">
    <w:name w:val="Footer Char"/>
    <w:basedOn w:val="DefaultParagraphFont"/>
    <w:link w:val="Footer"/>
    <w:uiPriority w:val="99"/>
    <w:rsid w:val="00E618BF"/>
    <w:rPr>
      <w:rFonts w:ascii="Inter" w:hAnsi="Inter" w:eastAsia="Inter" w:cs="Inter"/>
      <w:color w:val="000000"/>
    </w:rPr>
  </w:style>
  <w:style w:type="paragraph" w:styleId="Heading1">
    <w:name w:val="heading 1"/>
    <w:basedOn w:val="Normal"/>
    <w:next w:val="Normal"/>
    <w:link w:val="Heading1Char"/>
    <w:uiPriority w:val="9"/>
    <w:qFormat/>
    <w:rsid w:val="00FC693F"/>
    <w:pPr>
      <w:keepNext/>
      <w:keepLines/>
      <w:widowControl/>
      <w:spacing w:before="0" w:after="240" w:line="252" w:lineRule="auto"/>
      <w:outlineLvl w:val="0"/>
    </w:pPr>
    <w:rPr>
      <w:rFonts w:ascii="Inter" w:hAnsi="Inter" w:eastAsia="Inter" w:cs="Inter"/>
      <w:b/>
      <w:bCs/>
      <w:color w:val="000000"/>
      <w:sz w:val="46"/>
      <w:szCs w:val="28"/>
    </w:rPr>
  </w:style>
  <w:style w:type="paragraph" w:styleId="Heading2">
    <w:name w:val="heading 2"/>
    <w:basedOn w:val="Normal"/>
    <w:next w:val="Normal"/>
    <w:link w:val="Heading2Char"/>
    <w:uiPriority w:val="9"/>
    <w:unhideWhenUsed/>
    <w:qFormat/>
    <w:rsid w:val="00FC693F"/>
    <w:pPr>
      <w:keepNext/>
      <w:keepLines/>
      <w:widowControl/>
      <w:spacing w:before="160" w:after="140" w:line="252" w:lineRule="auto"/>
      <w:outlineLvl w:val="1"/>
    </w:pPr>
    <w:rPr>
      <w:rFonts w:ascii="Inter" w:hAnsi="Inter" w:eastAsia="Inter" w:cs="Inter"/>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160" w:after="120" w:line="252" w:lineRule="auto"/>
      <w:outlineLvl w:val="2"/>
    </w:pPr>
    <w:rPr>
      <w:rFonts w:ascii="Inter" w:hAnsi="Inter" w:eastAsia="Inter" w:cs="Inter"/>
      <w:b/>
      <w:bCs/>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Inter" w:hAnsi="Inter" w:eastAsia="Inter" w:cs="Inter"/>
      <w:b/>
      <w:bCs/>
      <w:i/>
      <w:iCs/>
      <w:color w:val="000000"/>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Inter" w:hAnsi="Inter" w:eastAsia="Inter" w:cs="Inter"/>
      <w:color w:val="000000"/>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Inter" w:hAnsi="Inter" w:eastAsia="Inter" w:cs="Inter"/>
      <w:i/>
      <w:iCs/>
      <w:color w:val="000000"/>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Inter" w:hAnsi="Inter" w:eastAsia="Inter" w:cs="Inter"/>
      <w:i/>
      <w:iCs/>
      <w:color w:val="000000"/>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Inter" w:hAnsi="Inter" w:eastAsia="Inter" w:cs="Inter"/>
      <w:color w:val="000000"/>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Inter" w:hAnsi="Inter" w:eastAsia="Inter" w:cs="Inter"/>
      <w:i/>
      <w:iCs/>
      <w:color w:val="000000"/>
      <w:sz w:val="20"/>
      <w:szCs w:val="20"/>
    </w:rPr>
  </w:style>
  <w:style w:type="character" w:default="1" w:styleId="DefaultParagraphFont">
    <w:name w:val="Default Paragraph Font"/>
    <w:uiPriority w:val="1"/>
    <w:semiHidden/>
    <w:unhideWhenUsed/>
    <w:rPr>
      <w:rFonts w:ascii="Inter" w:hAnsi="Inter" w:eastAsia="Inter" w:cs="Inte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rPr>
      <w:rFonts w:ascii="Inter" w:hAnsi="Inter" w:eastAsia="Inter" w:cs="Inter"/>
      <w:color w:val="000000"/>
    </w:rPr>
  </w:style>
  <w:style w:type="character" w:customStyle="1" w:styleId="Heading1Char">
    <w:name w:val="Heading 1 Char"/>
    <w:basedOn w:val="DefaultParagraphFont"/>
    <w:link w:val="Heading1"/>
    <w:uiPriority w:val="9"/>
    <w:rsid w:val="00FC693F"/>
    <w:rPr>
      <w:rFonts w:ascii="Inter" w:hAnsi="Inter" w:eastAsia="Inter" w:cs="Inter"/>
      <w:b/>
      <w:bCs/>
      <w:color w:val="000000"/>
      <w:sz w:val="28"/>
      <w:szCs w:val="28"/>
    </w:rPr>
  </w:style>
  <w:style w:type="character" w:customStyle="1" w:styleId="Heading2Char">
    <w:name w:val="Heading 2 Char"/>
    <w:basedOn w:val="DefaultParagraphFont"/>
    <w:link w:val="Heading2"/>
    <w:uiPriority w:val="9"/>
    <w:rsid w:val="00FC693F"/>
    <w:rPr>
      <w:rFonts w:ascii="Inter" w:hAnsi="Inter" w:eastAsia="Inter" w:cs="Inter"/>
      <w:b/>
      <w:bCs/>
      <w:color w:val="000000"/>
      <w:sz w:val="26"/>
      <w:szCs w:val="26"/>
    </w:rPr>
  </w:style>
  <w:style w:type="character" w:customStyle="1" w:styleId="Heading3Char">
    <w:name w:val="Heading 3 Char"/>
    <w:basedOn w:val="DefaultParagraphFont"/>
    <w:link w:val="Heading3"/>
    <w:uiPriority w:val="9"/>
    <w:rsid w:val="00FC693F"/>
    <w:rPr>
      <w:rFonts w:ascii="Inter" w:hAnsi="Inter" w:eastAsia="Inter" w:cs="Inter"/>
      <w:b/>
      <w:bCs/>
      <w:color w:val="000000"/>
    </w:rPr>
  </w:style>
  <w:style w:type="paragraph" w:styleId="Title">
    <w:name w:val="Title"/>
    <w:basedOn w:val="Normal"/>
    <w:next w:val="Normal"/>
    <w:link w:val="TitleChar"/>
    <w:uiPriority w:val="10"/>
    <w:qFormat/>
    <w:rsid w:val="00FC693F"/>
    <w:pPr>
      <w:keepNext/>
      <w:widowControl/>
      <w:spacing w:after="240" w:line="252" w:lineRule="auto" w:before="0"/>
      <w:contextualSpacing/>
    </w:pPr>
    <w:rPr>
      <w:rFonts w:ascii="Inter" w:hAnsi="Inter" w:eastAsia="Inter" w:cs="Inter"/>
      <w:b/>
      <w:color w:val="000000"/>
      <w:spacing w:val="5"/>
      <w:kern w:val="28"/>
      <w:sz w:val="58"/>
      <w:szCs w:val="52"/>
    </w:rPr>
  </w:style>
  <w:style w:type="character" w:customStyle="1" w:styleId="TitleChar">
    <w:name w:val="Title Char"/>
    <w:basedOn w:val="DefaultParagraphFont"/>
    <w:link w:val="Title"/>
    <w:uiPriority w:val="10"/>
    <w:rsid w:val="00FC693F"/>
    <w:rPr>
      <w:rFonts w:ascii="Inter" w:hAnsi="Inter" w:eastAsia="Inter" w:cs="Inter"/>
      <w:color w:val="000000"/>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Inter" w:hAnsi="Inter" w:eastAsia="Inter" w:cs="Inter"/>
      <w:i/>
      <w:iCs/>
      <w:color w:val="000000"/>
      <w:spacing w:val="15"/>
      <w:sz w:val="24"/>
      <w:szCs w:val="24"/>
    </w:rPr>
  </w:style>
  <w:style w:type="character" w:customStyle="1" w:styleId="SubtitleChar">
    <w:name w:val="Subtitle Char"/>
    <w:basedOn w:val="DefaultParagraphFont"/>
    <w:link w:val="Subtitle"/>
    <w:uiPriority w:val="11"/>
    <w:rsid w:val="00FC693F"/>
    <w:rPr>
      <w:rFonts w:ascii="Inter" w:hAnsi="Inter" w:eastAsia="Inter" w:cs="Inter"/>
      <w:i/>
      <w:iCs/>
      <w:color w:val="000000"/>
      <w:spacing w:val="15"/>
      <w:sz w:val="24"/>
      <w:szCs w:val="24"/>
    </w:rPr>
  </w:style>
  <w:style w:type="paragraph" w:styleId="ListParagraph">
    <w:name w:val="List Paragraph"/>
    <w:basedOn w:val="Normal"/>
    <w:uiPriority w:val="34"/>
    <w:qFormat/>
    <w:rsid w:val="00FC693F"/>
    <w:pPr>
      <w:widowControl/>
      <w:ind w:left="720"/>
      <w:contextualSpacing/>
    </w:pPr>
    <w:rPr>
      <w:rFonts w:ascii="Inter" w:hAnsi="Inter" w:eastAsia="Inter" w:cs="Inter"/>
      <w:color w:val="000000"/>
    </w:rPr>
  </w:style>
  <w:style w:type="paragraph" w:styleId="BodyText">
    <w:name w:val="Body Text"/>
    <w:basedOn w:val="Normal"/>
    <w:link w:val="BodyTextChar"/>
    <w:uiPriority w:val="99"/>
    <w:unhideWhenUsed/>
    <w:rsid w:val="00AA1D8D"/>
    <w:pPr>
      <w:widowControl/>
      <w:spacing w:after="120"/>
    </w:pPr>
    <w:rPr>
      <w:rFonts w:ascii="Inter" w:hAnsi="Inter" w:eastAsia="Inter" w:cs="Inter"/>
      <w:color w:val="000000"/>
    </w:rPr>
  </w:style>
  <w:style w:type="character" w:customStyle="1" w:styleId="BodyTextChar">
    <w:name w:val="Body Text Char"/>
    <w:basedOn w:val="DefaultParagraphFont"/>
    <w:link w:val="BodyText"/>
    <w:uiPriority w:val="99"/>
    <w:rsid w:val="00AA1D8D"/>
    <w:rPr>
      <w:rFonts w:ascii="Inter" w:hAnsi="Inter" w:eastAsia="Inter" w:cs="Inter"/>
      <w:color w:val="000000"/>
    </w:rPr>
  </w:style>
  <w:style w:type="paragraph" w:styleId="BodyText2">
    <w:name w:val="Body Text 2"/>
    <w:basedOn w:val="Normal"/>
    <w:link w:val="BodyText2Char"/>
    <w:uiPriority w:val="99"/>
    <w:unhideWhenUsed/>
    <w:rsid w:val="00AA1D8D"/>
    <w:pPr>
      <w:widowControl/>
      <w:spacing w:after="120" w:line="480" w:lineRule="auto"/>
    </w:pPr>
    <w:rPr>
      <w:rFonts w:ascii="Inter" w:hAnsi="Inter" w:eastAsia="Inter" w:cs="Inter"/>
      <w:color w:val="000000"/>
    </w:rPr>
  </w:style>
  <w:style w:type="character" w:customStyle="1" w:styleId="BodyText2Char">
    <w:name w:val="Body Text 2 Char"/>
    <w:basedOn w:val="DefaultParagraphFont"/>
    <w:link w:val="BodyText2"/>
    <w:uiPriority w:val="99"/>
    <w:rsid w:val="00AA1D8D"/>
    <w:rPr>
      <w:rFonts w:ascii="Inter" w:hAnsi="Inter" w:eastAsia="Inter" w:cs="Inter"/>
      <w:color w:val="000000"/>
    </w:rPr>
  </w:style>
  <w:style w:type="paragraph" w:styleId="BodyText3">
    <w:name w:val="Body Text 3"/>
    <w:basedOn w:val="Normal"/>
    <w:link w:val="BodyText3Char"/>
    <w:uiPriority w:val="99"/>
    <w:unhideWhenUsed/>
    <w:rsid w:val="00AA1D8D"/>
    <w:pPr>
      <w:widowControl/>
      <w:spacing w:after="120"/>
    </w:pPr>
    <w:rPr>
      <w:rFonts w:ascii="Inter" w:hAnsi="Inter" w:eastAsia="Inter" w:cs="Inter"/>
      <w:color w:val="000000"/>
      <w:sz w:val="16"/>
      <w:szCs w:val="16"/>
    </w:rPr>
  </w:style>
  <w:style w:type="character" w:customStyle="1" w:styleId="BodyText3Char">
    <w:name w:val="Body Text 3 Char"/>
    <w:basedOn w:val="DefaultParagraphFont"/>
    <w:link w:val="BodyText3"/>
    <w:uiPriority w:val="99"/>
    <w:rsid w:val="00AA1D8D"/>
    <w:rPr>
      <w:rFonts w:ascii="Inter" w:hAnsi="Inter" w:eastAsia="Inter" w:cs="Inter"/>
      <w:color w:val="000000"/>
      <w:sz w:val="16"/>
      <w:szCs w:val="16"/>
    </w:rPr>
  </w:style>
  <w:style w:type="paragraph" w:styleId="List">
    <w:name w:val="List"/>
    <w:basedOn w:val="Normal"/>
    <w:uiPriority w:val="99"/>
    <w:unhideWhenUsed/>
    <w:rsid w:val="00AA1D8D"/>
    <w:pPr>
      <w:widowControl/>
      <w:ind w:left="360" w:hanging="360"/>
      <w:contextualSpacing/>
    </w:pPr>
    <w:rPr>
      <w:rFonts w:ascii="Inter" w:hAnsi="Inter" w:eastAsia="Inter" w:cs="Inter"/>
      <w:color w:val="000000"/>
    </w:rPr>
  </w:style>
  <w:style w:type="paragraph" w:styleId="List2">
    <w:name w:val="List 2"/>
    <w:basedOn w:val="Normal"/>
    <w:uiPriority w:val="99"/>
    <w:unhideWhenUsed/>
    <w:rsid w:val="00326F90"/>
    <w:pPr>
      <w:widowControl/>
      <w:ind w:left="720" w:hanging="360"/>
      <w:contextualSpacing/>
    </w:pPr>
    <w:rPr>
      <w:rFonts w:ascii="Inter" w:hAnsi="Inter" w:eastAsia="Inter" w:cs="Inter"/>
      <w:color w:val="000000"/>
    </w:rPr>
  </w:style>
  <w:style w:type="paragraph" w:styleId="List3">
    <w:name w:val="List 3"/>
    <w:basedOn w:val="Normal"/>
    <w:uiPriority w:val="99"/>
    <w:unhideWhenUsed/>
    <w:rsid w:val="00326F90"/>
    <w:pPr>
      <w:widowControl/>
      <w:ind w:left="1080" w:hanging="360"/>
      <w:contextualSpacing/>
    </w:pPr>
    <w:rPr>
      <w:rFonts w:ascii="Inter" w:hAnsi="Inter" w:eastAsia="Inter" w:cs="Inter"/>
      <w:color w:val="000000"/>
    </w:rPr>
  </w:style>
  <w:style w:type="paragraph" w:styleId="ListBullet">
    <w:name w:val="List Bullet"/>
    <w:basedOn w:val="Normal"/>
    <w:uiPriority w:val="99"/>
    <w:unhideWhenUsed/>
    <w:rsid w:val="00326F90"/>
    <w:pPr>
      <w:widowControl/>
      <w:numPr>
        <w:numId w:val="1"/>
      </w:numPr>
      <w:contextualSpacing/>
    </w:pPr>
    <w:rPr>
      <w:rFonts w:ascii="Inter" w:hAnsi="Inter" w:eastAsia="Inter" w:cs="Inter"/>
      <w:color w:val="000000"/>
    </w:rPr>
  </w:style>
  <w:style w:type="paragraph" w:styleId="ListBullet2">
    <w:name w:val="List Bullet 2"/>
    <w:basedOn w:val="Normal"/>
    <w:uiPriority w:val="99"/>
    <w:unhideWhenUsed/>
    <w:rsid w:val="00326F90"/>
    <w:pPr>
      <w:widowControl/>
      <w:numPr>
        <w:numId w:val="2"/>
      </w:numPr>
      <w:contextualSpacing/>
    </w:pPr>
    <w:rPr>
      <w:rFonts w:ascii="Inter" w:hAnsi="Inter" w:eastAsia="Inter" w:cs="Inter"/>
      <w:color w:val="000000"/>
    </w:rPr>
  </w:style>
  <w:style w:type="paragraph" w:styleId="ListBullet3">
    <w:name w:val="List Bullet 3"/>
    <w:basedOn w:val="Normal"/>
    <w:uiPriority w:val="99"/>
    <w:unhideWhenUsed/>
    <w:rsid w:val="00326F90"/>
    <w:pPr>
      <w:widowControl/>
      <w:numPr>
        <w:numId w:val="3"/>
      </w:numPr>
      <w:contextualSpacing/>
    </w:pPr>
    <w:rPr>
      <w:rFonts w:ascii="Inter" w:hAnsi="Inter" w:eastAsia="Inter" w:cs="Inter"/>
      <w:color w:val="000000"/>
    </w:rPr>
  </w:style>
  <w:style w:type="paragraph" w:styleId="ListNumber">
    <w:name w:val="List Number"/>
    <w:basedOn w:val="Normal"/>
    <w:uiPriority w:val="99"/>
    <w:unhideWhenUsed/>
    <w:rsid w:val="00326F90"/>
    <w:pPr>
      <w:widowControl/>
      <w:numPr>
        <w:numId w:val="5"/>
      </w:numPr>
      <w:contextualSpacing/>
    </w:pPr>
    <w:rPr>
      <w:rFonts w:ascii="Inter" w:hAnsi="Inter" w:eastAsia="Inter" w:cs="Inter"/>
      <w:color w:val="000000"/>
    </w:rPr>
  </w:style>
  <w:style w:type="paragraph" w:styleId="ListNumber2">
    <w:name w:val="List Number 2"/>
    <w:basedOn w:val="Normal"/>
    <w:uiPriority w:val="99"/>
    <w:unhideWhenUsed/>
    <w:rsid w:val="0029639D"/>
    <w:pPr>
      <w:widowControl/>
      <w:numPr>
        <w:numId w:val="6"/>
      </w:numPr>
      <w:contextualSpacing/>
    </w:pPr>
    <w:rPr>
      <w:rFonts w:ascii="Inter" w:hAnsi="Inter" w:eastAsia="Inter" w:cs="Inter"/>
      <w:color w:val="000000"/>
    </w:rPr>
  </w:style>
  <w:style w:type="paragraph" w:styleId="ListNumber3">
    <w:name w:val="List Number 3"/>
    <w:basedOn w:val="Normal"/>
    <w:uiPriority w:val="99"/>
    <w:unhideWhenUsed/>
    <w:rsid w:val="0029639D"/>
    <w:pPr>
      <w:widowControl/>
      <w:numPr>
        <w:numId w:val="7"/>
      </w:numPr>
      <w:contextualSpacing/>
    </w:pPr>
    <w:rPr>
      <w:rFonts w:ascii="Inter" w:hAnsi="Inter" w:eastAsia="Inter" w:cs="Inter"/>
      <w:color w:val="000000"/>
    </w:rPr>
  </w:style>
  <w:style w:type="paragraph" w:styleId="ListContinue">
    <w:name w:val="List Continue"/>
    <w:basedOn w:val="Normal"/>
    <w:uiPriority w:val="99"/>
    <w:unhideWhenUsed/>
    <w:rsid w:val="0029639D"/>
    <w:pPr>
      <w:widowControl/>
      <w:spacing w:after="120"/>
      <w:ind w:left="360"/>
      <w:contextualSpacing/>
    </w:pPr>
    <w:rPr>
      <w:rFonts w:ascii="Inter" w:hAnsi="Inter" w:eastAsia="Inter" w:cs="Inter"/>
      <w:color w:val="000000"/>
    </w:rPr>
  </w:style>
  <w:style w:type="paragraph" w:styleId="ListContinue2">
    <w:name w:val="List Continue 2"/>
    <w:basedOn w:val="Normal"/>
    <w:uiPriority w:val="99"/>
    <w:unhideWhenUsed/>
    <w:rsid w:val="0029639D"/>
    <w:pPr>
      <w:widowControl/>
      <w:spacing w:after="120"/>
      <w:ind w:left="720"/>
      <w:contextualSpacing/>
    </w:pPr>
    <w:rPr>
      <w:rFonts w:ascii="Inter" w:hAnsi="Inter" w:eastAsia="Inter" w:cs="Inter"/>
      <w:color w:val="000000"/>
    </w:rPr>
  </w:style>
  <w:style w:type="paragraph" w:styleId="ListContinue3">
    <w:name w:val="List Continue 3"/>
    <w:basedOn w:val="Normal"/>
    <w:uiPriority w:val="99"/>
    <w:unhideWhenUsed/>
    <w:rsid w:val="0029639D"/>
    <w:pPr>
      <w:widowControl/>
      <w:spacing w:after="120"/>
      <w:ind w:left="1080"/>
      <w:contextualSpacing/>
    </w:pPr>
    <w:rPr>
      <w:rFonts w:ascii="Inter" w:hAnsi="Inter" w:eastAsia="Inter" w:cs="Inter"/>
      <w:color w:val="000000"/>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Inter" w:hAnsi="Inter" w:eastAsia="Inter" w:cs="Inter"/>
      <w:color w:val="000000"/>
      <w:sz w:val="20"/>
      <w:szCs w:val="20"/>
    </w:rPr>
  </w:style>
  <w:style w:type="character" w:customStyle="1" w:styleId="MacroTextChar">
    <w:name w:val="Macro Text Char"/>
    <w:basedOn w:val="DefaultParagraphFont"/>
    <w:link w:val="MacroText"/>
    <w:uiPriority w:val="99"/>
    <w:rsid w:val="0029639D"/>
    <w:rPr>
      <w:rFonts w:ascii="Inter" w:hAnsi="Inter" w:eastAsia="Inter" w:cs="Inter"/>
      <w:color w:val="000000"/>
      <w:sz w:val="20"/>
      <w:szCs w:val="20"/>
    </w:rPr>
  </w:style>
  <w:style w:type="paragraph" w:styleId="Quote">
    <w:name w:val="Quote"/>
    <w:basedOn w:val="Normal"/>
    <w:next w:val="Normal"/>
    <w:link w:val="QuoteChar"/>
    <w:uiPriority w:val="29"/>
    <w:qFormat/>
    <w:rsid w:val="00FC693F"/>
    <w:pPr>
      <w:widowControl/>
    </w:pPr>
    <w:rPr>
      <w:rFonts w:ascii="Inter" w:hAnsi="Inter" w:eastAsia="Inter" w:cs="Inter"/>
      <w:i/>
      <w:iCs/>
      <w:color w:val="000000"/>
    </w:rPr>
  </w:style>
  <w:style w:type="character" w:customStyle="1" w:styleId="QuoteChar">
    <w:name w:val="Quote Char"/>
    <w:basedOn w:val="DefaultParagraphFont"/>
    <w:link w:val="Quote"/>
    <w:uiPriority w:val="29"/>
    <w:rsid w:val="00FC693F"/>
    <w:rPr>
      <w:rFonts w:ascii="Inter" w:hAnsi="Inter" w:eastAsia="Inter" w:cs="Inter"/>
      <w:i/>
      <w:iCs/>
      <w:color w:val="000000"/>
    </w:rPr>
  </w:style>
  <w:style w:type="character" w:customStyle="1" w:styleId="Heading4Char">
    <w:name w:val="Heading 4 Char"/>
    <w:basedOn w:val="DefaultParagraphFont"/>
    <w:link w:val="Heading4"/>
    <w:uiPriority w:val="9"/>
    <w:semiHidden/>
    <w:rsid w:val="00FC693F"/>
    <w:rPr>
      <w:rFonts w:ascii="Inter" w:hAnsi="Inter" w:eastAsia="Inter" w:cs="Inter"/>
      <w:b/>
      <w:bCs/>
      <w:i/>
      <w:iCs/>
      <w:color w:val="000000"/>
    </w:rPr>
  </w:style>
  <w:style w:type="character" w:customStyle="1" w:styleId="Heading5Char">
    <w:name w:val="Heading 5 Char"/>
    <w:basedOn w:val="DefaultParagraphFont"/>
    <w:link w:val="Heading5"/>
    <w:uiPriority w:val="9"/>
    <w:semiHidden/>
    <w:rsid w:val="00FC693F"/>
    <w:rPr>
      <w:rFonts w:ascii="Inter" w:hAnsi="Inter" w:eastAsia="Inter" w:cs="Inter"/>
      <w:color w:val="000000"/>
    </w:rPr>
  </w:style>
  <w:style w:type="character" w:customStyle="1" w:styleId="Heading6Char">
    <w:name w:val="Heading 6 Char"/>
    <w:basedOn w:val="DefaultParagraphFont"/>
    <w:link w:val="Heading6"/>
    <w:uiPriority w:val="9"/>
    <w:semiHidden/>
    <w:rsid w:val="00FC693F"/>
    <w:rPr>
      <w:rFonts w:ascii="Inter" w:hAnsi="Inter" w:eastAsia="Inter" w:cs="Inter"/>
      <w:i/>
      <w:iCs/>
      <w:color w:val="000000"/>
    </w:rPr>
  </w:style>
  <w:style w:type="character" w:customStyle="1" w:styleId="Heading7Char">
    <w:name w:val="Heading 7 Char"/>
    <w:basedOn w:val="DefaultParagraphFont"/>
    <w:link w:val="Heading7"/>
    <w:uiPriority w:val="9"/>
    <w:semiHidden/>
    <w:rsid w:val="00FC693F"/>
    <w:rPr>
      <w:rFonts w:ascii="Inter" w:hAnsi="Inter" w:eastAsia="Inter" w:cs="Inter"/>
      <w:i/>
      <w:iCs/>
      <w:color w:val="000000"/>
    </w:rPr>
  </w:style>
  <w:style w:type="character" w:customStyle="1" w:styleId="Heading8Char">
    <w:name w:val="Heading 8 Char"/>
    <w:basedOn w:val="DefaultParagraphFont"/>
    <w:link w:val="Heading8"/>
    <w:uiPriority w:val="9"/>
    <w:semiHidden/>
    <w:rsid w:val="00FC693F"/>
    <w:rPr>
      <w:rFonts w:ascii="Inter" w:hAnsi="Inter" w:eastAsia="Inter" w:cs="Inter"/>
      <w:color w:val="000000"/>
      <w:sz w:val="20"/>
      <w:szCs w:val="20"/>
    </w:rPr>
  </w:style>
  <w:style w:type="character" w:customStyle="1" w:styleId="Heading9Char">
    <w:name w:val="Heading 9 Char"/>
    <w:basedOn w:val="DefaultParagraphFont"/>
    <w:link w:val="Heading9"/>
    <w:uiPriority w:val="9"/>
    <w:semiHidden/>
    <w:rsid w:val="00FC693F"/>
    <w:rPr>
      <w:rFonts w:ascii="Inter" w:hAnsi="Inter" w:eastAsia="Inter" w:cs="Inter"/>
      <w:i/>
      <w:iCs/>
      <w:color w:val="000000"/>
      <w:sz w:val="20"/>
      <w:szCs w:val="20"/>
    </w:rPr>
  </w:style>
  <w:style w:type="paragraph" w:styleId="Caption">
    <w:name w:val="caption"/>
    <w:basedOn w:val="Normal"/>
    <w:next w:val="Normal"/>
    <w:uiPriority w:val="35"/>
    <w:semiHidden/>
    <w:unhideWhenUsed/>
    <w:qFormat/>
    <w:rsid w:val="00FC693F"/>
    <w:pPr>
      <w:widowControl/>
      <w:spacing w:line="240" w:lineRule="auto"/>
    </w:pPr>
    <w:rPr>
      <w:rFonts w:ascii="Inter" w:hAnsi="Inter" w:eastAsia="Inter" w:cs="Inter"/>
      <w:b/>
      <w:bCs/>
      <w:color w:val="000000"/>
      <w:sz w:val="18"/>
      <w:szCs w:val="18"/>
    </w:rPr>
  </w:style>
  <w:style w:type="character" w:styleId="Strong">
    <w:name w:val="Strong"/>
    <w:basedOn w:val="DefaultParagraphFont"/>
    <w:uiPriority w:val="22"/>
    <w:qFormat/>
    <w:rsid w:val="00FC693F"/>
    <w:rPr>
      <w:rFonts w:ascii="Inter" w:hAnsi="Inter" w:eastAsia="Inter" w:cs="Inter"/>
      <w:b/>
      <w:bCs/>
      <w:color w:val="000000"/>
    </w:rPr>
  </w:style>
  <w:style w:type="character" w:styleId="Emphasis">
    <w:name w:val="Emphasis"/>
    <w:basedOn w:val="DefaultParagraphFont"/>
    <w:uiPriority w:val="20"/>
    <w:qFormat/>
    <w:rsid w:val="00FC693F"/>
    <w:rPr>
      <w:rFonts w:ascii="Inter" w:hAnsi="Inter" w:eastAsia="Inter" w:cs="Inter"/>
      <w:i/>
      <w:iCs/>
      <w:color w:val="000000"/>
    </w:rPr>
  </w:style>
  <w:style w:type="paragraph" w:styleId="IntenseQuote">
    <w:name w:val="Intense Quote"/>
    <w:basedOn w:val="Normal"/>
    <w:next w:val="Normal"/>
    <w:link w:val="IntenseQuoteChar"/>
    <w:uiPriority w:val="30"/>
    <w:qFormat/>
    <w:rsid w:val="00FC693F"/>
    <w:pPr>
      <w:widowControl/>
      <w:spacing w:before="200" w:after="280"/>
      <w:ind w:left="936" w:right="936"/>
    </w:pPr>
    <w:rPr>
      <w:rFonts w:ascii="Inter" w:hAnsi="Inter" w:eastAsia="Inter" w:cs="Inter"/>
      <w:b/>
      <w:bCs/>
      <w:i/>
      <w:iCs/>
      <w:color w:val="000000"/>
    </w:rPr>
  </w:style>
  <w:style w:type="character" w:customStyle="1" w:styleId="IntenseQuoteChar">
    <w:name w:val="Intense Quote Char"/>
    <w:basedOn w:val="DefaultParagraphFont"/>
    <w:link w:val="IntenseQuote"/>
    <w:uiPriority w:val="30"/>
    <w:rsid w:val="00FC693F"/>
    <w:rPr>
      <w:rFonts w:ascii="Inter" w:hAnsi="Inter" w:eastAsia="Inter" w:cs="Inter"/>
      <w:b/>
      <w:bCs/>
      <w:i/>
      <w:iCs/>
      <w:color w:val="000000"/>
    </w:rPr>
  </w:style>
  <w:style w:type="character" w:styleId="SubtleEmphasis">
    <w:name w:val="Subtle Emphasis"/>
    <w:basedOn w:val="DefaultParagraphFont"/>
    <w:uiPriority w:val="19"/>
    <w:qFormat/>
    <w:rsid w:val="00FC693F"/>
    <w:rPr>
      <w:rFonts w:ascii="Inter" w:hAnsi="Inter" w:eastAsia="Inter" w:cs="Inter"/>
      <w:i/>
      <w:iCs/>
      <w:color w:val="000000"/>
    </w:rPr>
  </w:style>
  <w:style w:type="character" w:styleId="IntenseEmphasis">
    <w:name w:val="Intense Emphasis"/>
    <w:basedOn w:val="DefaultParagraphFont"/>
    <w:uiPriority w:val="21"/>
    <w:qFormat/>
    <w:rsid w:val="00FC693F"/>
    <w:rPr>
      <w:rFonts w:ascii="Inter" w:hAnsi="Inter" w:eastAsia="Inter" w:cs="Inter"/>
      <w:b/>
      <w:bCs/>
      <w:i/>
      <w:iCs/>
      <w:color w:val="000000"/>
    </w:rPr>
  </w:style>
  <w:style w:type="character" w:styleId="SubtleReference">
    <w:name w:val="Subtle Reference"/>
    <w:basedOn w:val="DefaultParagraphFont"/>
    <w:uiPriority w:val="31"/>
    <w:qFormat/>
    <w:rsid w:val="00FC693F"/>
    <w:rPr>
      <w:rFonts w:ascii="Inter" w:hAnsi="Inter" w:eastAsia="Inter" w:cs="Inter"/>
      <w:smallCaps/>
      <w:color w:val="000000"/>
      <w:u w:val="single"/>
    </w:rPr>
  </w:style>
  <w:style w:type="character" w:styleId="IntenseReference">
    <w:name w:val="Intense Reference"/>
    <w:basedOn w:val="DefaultParagraphFont"/>
    <w:uiPriority w:val="32"/>
    <w:qFormat/>
    <w:rsid w:val="00FC693F"/>
    <w:rPr>
      <w:rFonts w:ascii="Inter" w:hAnsi="Inter" w:eastAsia="Inter" w:cs="Inter"/>
      <w:b/>
      <w:bCs/>
      <w:smallCaps/>
      <w:color w:val="000000"/>
      <w:spacing w:val="5"/>
      <w:u w:val="single"/>
    </w:rPr>
  </w:style>
  <w:style w:type="character" w:styleId="BookTitle">
    <w:name w:val="Book Title"/>
    <w:basedOn w:val="DefaultParagraphFont"/>
    <w:uiPriority w:val="33"/>
    <w:qFormat/>
    <w:rsid w:val="00FC693F"/>
    <w:rPr>
      <w:rFonts w:ascii="Inter" w:hAnsi="Inter" w:eastAsia="Inter" w:cs="Inter"/>
      <w:b/>
      <w:bCs/>
      <w:smallCaps/>
      <w:color w:val="000000"/>
      <w:spacing w:val="5"/>
    </w:rPr>
  </w:style>
  <w:style w:type="paragraph" w:styleId="TOCHeading">
    <w:name w:val="TOC Heading"/>
    <w:basedOn w:val="Heading1"/>
    <w:next w:val="Normal"/>
    <w:uiPriority w:val="39"/>
    <w:semiHidden/>
    <w:unhideWhenUsed/>
    <w:qFormat/>
    <w:rsid w:val="00FC693F"/>
    <w:pPr>
      <w:widowControl/>
      <w:outlineLvl w:val="9"/>
    </w:pPr>
    <w:rPr>
      <w:rFonts w:ascii="Inter" w:hAnsi="Inter" w:eastAsia="Inter" w:cs="Inte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before="0" w:after="300" w:line="300" w:lineRule="auto"/>
    </w:pPr>
    <w:rPr>
      <w:rFonts w:ascii="Inter" w:hAnsi="Inter" w:eastAsia="Inter" w:cs="Inter"/>
      <w:color w:val="18181B"/>
      <w:sz w:val="24"/>
    </w:rPr>
  </w:style>
  <w:style w:type="paragraph" w:customStyle="1" w:styleId="Eyebrow">
    <w:name w:val="Eyebrow"/>
    <w:pPr>
      <w:spacing w:before="0" w:after="160" w:line="264" w:lineRule="auto"/>
    </w:pPr>
    <w:rPr>
      <w:rFonts w:ascii="Inter" w:hAnsi="Inter" w:eastAsia="Inter" w:cs="Inter"/>
      <w:color w:val="18181B"/>
      <w:sz w:val="18"/>
    </w:rPr>
  </w:style>
  <w:style w:type="paragraph" w:customStyle="1" w:styleId="Fieldlabel">
    <w:name w:val="Field label"/>
    <w:pPr>
      <w:keepNext/>
      <w:spacing w:before="140" w:after="0" w:line="264" w:lineRule="auto"/>
    </w:pPr>
    <w:rPr>
      <w:rFonts w:ascii="Inter" w:hAnsi="Inter" w:eastAsia="Inter" w:cs="Inter"/>
      <w:b/>
      <w:color w:val="18181B"/>
      <w:sz w:val="19"/>
    </w:rPr>
  </w:style>
  <w:style w:type="paragraph" w:customStyle="1" w:styleId="Entry">
    <w:name w:val="Entry"/>
    <w:pPr>
      <w:spacing w:before="0" w:after="60" w:line="312" w:lineRule="auto"/>
    </w:pPr>
    <w:rPr>
      <w:rFonts w:ascii="Inter" w:hAnsi="Inter" w:eastAsia="Inter" w:cs="Inter"/>
      <w:color w:val="18181B"/>
      <w:sz w:val="22"/>
    </w:rPr>
  </w:style>
  <w:style w:type="paragraph" w:customStyle="1" w:styleId="Tablecopy">
    <w:name w:val="Table copy"/>
    <w:pPr>
      <w:spacing w:before="0" w:after="40" w:line="269" w:lineRule="auto"/>
    </w:pPr>
    <w:rPr>
      <w:rFonts w:ascii="Inter" w:hAnsi="Inter" w:eastAsia="Inter" w:cs="Inter"/>
      <w:color w:val="18181B"/>
      <w:sz w:val="21"/>
    </w:rPr>
  </w:style>
  <w:style w:type="paragraph" w:customStyle="1" w:styleId="Tablegap">
    <w:name w:val="Table gap"/>
    <w:pPr>
      <w:spacing w:before="0" w:after="60" w:line="240" w:lineRule="auto"/>
    </w:pPr>
    <w:rPr>
      <w:rFonts w:ascii="Inter" w:hAnsi="Inter" w:eastAsia="Inter" w:cs="Inter"/>
      <w:color w:val="18181B"/>
      <w:sz w:val="2"/>
    </w:rPr>
  </w:style>
  <w:style w:type="paragraph" w:customStyle="1" w:styleId="Small">
    <w:name w:val="Small"/>
    <w:pPr>
      <w:spacing w:before="0" w:after="120" w:line="276" w:lineRule="auto"/>
    </w:pPr>
    <w:rPr>
      <w:rFonts w:ascii="Inter" w:hAnsi="Inter" w:eastAsia="Inter" w:cs="Inter"/>
      <w:color w:val="18181B"/>
      <w:sz w:val="18"/>
    </w:rPr>
  </w:style>
  <w:style w:type="paragraph" w:customStyle="1" w:styleId="Checklist">
    <w:name w:val="Checklist"/>
    <w:pPr>
      <w:spacing w:before="0" w:after="100" w:line="276" w:lineRule="auto"/>
    </w:pPr>
    <w:rPr>
      <w:rFonts w:ascii="Inter" w:hAnsi="Inter" w:eastAsia="Inter" w:cs="Inter"/>
      <w:color w:val="18181B"/>
      <w:sz w:val="21"/>
    </w:rPr>
  </w:style>
  <w:style w:type="paragraph" w:customStyle="1" w:styleId="Step">
    <w:name w:val="Step"/>
    <w:pPr>
      <w:keepNext/>
      <w:spacing w:before="120" w:after="80" w:line="278" w:lineRule="auto"/>
    </w:pPr>
    <w:rPr>
      <w:rFonts w:ascii="Inter" w:hAnsi="Inter" w:eastAsia="Inter" w:cs="Inter"/>
      <w:color w:val="18181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Inter1" Type="http://schemas.openxmlformats.org/officeDocument/2006/relationships/font" Target="fonts/Inter-1.odttf"/><Relationship Id="rIdInter2" Type="http://schemas.openxmlformats.org/officeDocument/2006/relationships/font" Target="fonts/Inter-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MVP Planning Blueprint</dc:title>
  <dc:subject>Choose a first release that tests a consequential decision and can be operated responsibly.</dc:subject>
  <dc:creator>MT BYTES</dc:creator>
  <cp:keywords/>
  <dc:description/>
  <cp:lastModifiedBy>MT BYTES</cp:lastModifiedBy>
  <cp:revision>1</cp:revision>
  <dcterms:created xsi:type="dcterms:W3CDTF">2013-12-23T23:15:00Z</dcterms:created>
  <dcterms:modified xsi:type="dcterms:W3CDTF">2013-12-23T23:15:00Z</dcterms:modified>
  <cp:category/>
</cp:coreProperties>
</file>