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rPr>
          <w:rFonts w:ascii="Inter" w:hAnsi="Inter" w:eastAsia="Inter" w:cs="Inter"/>
          <w:b w:val="0"/>
          <w:color w:val="18181B"/>
        </w:rPr>
        <w:t>TECHNOLOGY DELIVERY</w:t>
      </w:r>
    </w:p>
    <w:p>
      <w:pPr>
        <w:pStyle w:val="Title"/>
      </w:pPr>
      <w:r>
        <w:t>Software Requirements Brief</w:t>
      </w:r>
    </w:p>
    <w:p>
      <w:pPr>
        <w:pStyle w:val="Deck"/>
      </w:pPr>
      <w:r>
        <w:rPr>
          <w:rFonts w:ascii="Inter" w:hAnsi="Inter" w:eastAsia="Inter" w:cs="Inter"/>
          <w:b w:val="0"/>
          <w:color w:val="18181B"/>
        </w:rPr>
        <w:t>Define the behavior, boundaries and evidence a delivery team needs before it commits.</w:t>
      </w:r>
    </w:p>
    <w:p>
      <w:pPr>
        <w:pStyle w:val="Heading2"/>
      </w:pPr>
      <w:r>
        <w:t>Establish the delivery agreement</w:t>
      </w:r>
    </w:p>
    <w:p>
      <w:r>
        <w:rPr>
          <w:rFonts w:ascii="Inter" w:hAnsi="Inter" w:eastAsia="Inter" w:cs="Inter"/>
          <w:b w:val="0"/>
          <w:color w:val="18181B"/>
        </w:rPr>
        <w:t>This brief establishes what the software must do, what it must protect and how the team will prove that it works. Keep implementation choices open where they do not change the business outcome; make constraints explicit where they do.</w:t>
      </w:r>
    </w:p>
    <w:p>
      <w:r>
        <w:rPr>
          <w:rFonts w:ascii="Inter" w:hAnsi="Inter" w:eastAsia="Inter" w:cs="Inter"/>
          <w:b w:val="0"/>
          <w:color w:val="18181B"/>
        </w:rPr>
        <w:t>The product owner prepares the brief with the people who perform the work. Engineering, design, operations and the acceptance owner challenge it together. A delivery estimate should identify any unanswered decision that could materially change scope, cost or release risk.</w:t>
      </w:r>
    </w:p>
    <w:p>
      <w:pPr>
        <w:pStyle w:val="Heading2"/>
      </w:pPr>
      <w:r>
        <w:t>Write the outcome before the feature list</w:t>
      </w:r>
    </w:p>
    <w:p>
      <w:r>
        <w:rPr>
          <w:rFonts w:ascii="Inter" w:hAnsi="Inter" w:eastAsia="Inter" w:cs="Inter"/>
          <w:b w:val="0"/>
          <w:color w:val="18181B"/>
        </w:rPr>
        <w:t>State whose work will change, the task they need to complete and the observable result. Establish the current process and its evidence. A target without a baseline may still be valid, but label the baseline as unmeasured and assign its collection before using improvement claims to justify the release.</w:t>
      </w:r>
    </w:p>
    <w:p>
      <w:pPr>
        <w:pStyle w:val="Fieldlabel"/>
      </w:pPr>
      <w:r>
        <w:rPr>
          <w:rFonts w:ascii="Inter" w:hAnsi="Inter" w:eastAsia="Inter" w:cs="Inter"/>
          <w:b/>
          <w:color w:val="18181B"/>
        </w:rPr>
        <w:t>Service or product • accountable owner • brief version</w:t>
      </w:r>
    </w:p>
    <w:sdt>
      <w:sdtPr>
        <w:alias w:val="Service or product • accountable owner • brief version"/>
        <w:tag w:val="field-a7576590a417"/>
        <w:id w:val="265959322"/>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Business outcome • current evidence</w:t>
      </w:r>
    </w:p>
    <w:sdt>
      <w:sdtPr>
        <w:alias w:val="Business outcome • current evidence"/>
        <w:tag w:val="field-af29b5490792"/>
        <w:id w:val="80562248"/>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Release boundary • decision status / date • acceptance owner</w:t>
      </w:r>
    </w:p>
    <w:sdt>
      <w:sdtPr>
        <w:alias w:val="Release boundary • decision status / date • acceptance owner"/>
        <w:tag w:val="field-c1ed03442aee"/>
        <w:id w:val="140647641"/>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Use a clear decision status</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1800"/>
        <w:gridCol w:w="8136"/>
      </w:tblGrid>
      <w:tr>
        <w:trPr>
          <w:cantSplit/>
          <w:tblHeader/>
        </w:trPr>
        <w:tc>
          <w:tcPr>
            <w:tcW w:type="dxa" w:w="1800"/>
            <w:vAlign w:val="center"/>
            <w:shd w:fill="F4F4F5"/>
          </w:tcPr>
          <w:p>
            <w:pPr>
              <w:pStyle w:val="Tablecopy"/>
            </w:pPr>
            <w:r/>
            <w:r>
              <w:rPr>
                <w:rFonts w:ascii="Inter" w:hAnsi="Inter" w:eastAsia="Inter" w:cs="Inter"/>
                <w:b/>
                <w:color w:val="18181B"/>
                <w:sz w:val="21"/>
              </w:rPr>
              <w:t>Status</w:t>
            </w:r>
          </w:p>
        </w:tc>
        <w:tc>
          <w:tcPr>
            <w:tcW w:type="dxa" w:w="8136"/>
            <w:vAlign w:val="center"/>
            <w:shd w:fill="F4F4F5"/>
          </w:tcPr>
          <w:p>
            <w:pPr>
              <w:pStyle w:val="Tablecopy"/>
            </w:pPr>
            <w:r/>
            <w:r>
              <w:rPr>
                <w:rFonts w:ascii="Inter" w:hAnsi="Inter" w:eastAsia="Inter" w:cs="Inter"/>
                <w:b/>
                <w:color w:val="18181B"/>
                <w:sz w:val="21"/>
              </w:rPr>
              <w:t>Meaning</w:t>
            </w:r>
          </w:p>
        </w:tc>
      </w:tr>
      <w:tr>
        <w:trPr>
          <w:cantSplit/>
        </w:trPr>
        <w:tc>
          <w:tcPr>
            <w:tcW w:type="dxa" w:w="1800"/>
            <w:vAlign w:val="center"/>
          </w:tcPr>
          <w:p>
            <w:pPr>
              <w:pStyle w:val="Tablecopy"/>
            </w:pPr>
            <w:r/>
            <w:r>
              <w:rPr>
                <w:rFonts w:ascii="Inter" w:hAnsi="Inter" w:eastAsia="Inter" w:cs="Inter"/>
                <w:b w:val="0"/>
                <w:color w:val="18181B"/>
                <w:sz w:val="21"/>
              </w:rPr>
              <w:t>Proposed</w:t>
            </w:r>
          </w:p>
        </w:tc>
        <w:tc>
          <w:tcPr>
            <w:tcW w:type="dxa" w:w="8136"/>
            <w:vAlign w:val="center"/>
          </w:tcPr>
          <w:p>
            <w:pPr>
              <w:pStyle w:val="Tablecopy"/>
            </w:pPr>
            <w:r/>
            <w:r>
              <w:rPr>
                <w:rFonts w:ascii="Inter" w:hAnsi="Inter" w:eastAsia="Inter" w:cs="Inter"/>
                <w:b w:val="0"/>
                <w:color w:val="18181B"/>
                <w:sz w:val="21"/>
              </w:rPr>
              <w:t>Open for review. Delivery commitments remain provisional.</w:t>
            </w:r>
          </w:p>
        </w:tc>
      </w:tr>
      <w:tr>
        <w:trPr>
          <w:cantSplit/>
        </w:trPr>
        <w:tc>
          <w:tcPr>
            <w:tcW w:type="dxa" w:w="1800"/>
            <w:vAlign w:val="center"/>
          </w:tcPr>
          <w:p>
            <w:pPr>
              <w:pStyle w:val="Tablecopy"/>
            </w:pPr>
            <w:r/>
            <w:r>
              <w:rPr>
                <w:rFonts w:ascii="Inter" w:hAnsi="Inter" w:eastAsia="Inter" w:cs="Inter"/>
                <w:b w:val="0"/>
                <w:color w:val="18181B"/>
                <w:sz w:val="21"/>
              </w:rPr>
              <w:t>Agreed</w:t>
            </w:r>
          </w:p>
        </w:tc>
        <w:tc>
          <w:tcPr>
            <w:tcW w:type="dxa" w:w="8136"/>
            <w:vAlign w:val="center"/>
          </w:tcPr>
          <w:p>
            <w:pPr>
              <w:pStyle w:val="Tablecopy"/>
            </w:pPr>
            <w:r/>
            <w:r>
              <w:rPr>
                <w:rFonts w:ascii="Inter" w:hAnsi="Inter" w:eastAsia="Inter" w:cs="Inter"/>
                <w:b w:val="0"/>
                <w:color w:val="18181B"/>
                <w:sz w:val="21"/>
              </w:rPr>
              <w:t>Named owners accept the current scope and its acceptance evidence.</w:t>
            </w:r>
          </w:p>
        </w:tc>
      </w:tr>
      <w:tr>
        <w:trPr>
          <w:cantSplit/>
        </w:trPr>
        <w:tc>
          <w:tcPr>
            <w:tcW w:type="dxa" w:w="1800"/>
            <w:vAlign w:val="center"/>
          </w:tcPr>
          <w:p>
            <w:pPr>
              <w:pStyle w:val="Tablecopy"/>
            </w:pPr>
            <w:r/>
            <w:r>
              <w:rPr>
                <w:rFonts w:ascii="Inter" w:hAnsi="Inter" w:eastAsia="Inter" w:cs="Inter"/>
                <w:b w:val="0"/>
                <w:color w:val="18181B"/>
                <w:sz w:val="21"/>
              </w:rPr>
              <w:t>Blocked</w:t>
            </w:r>
          </w:p>
        </w:tc>
        <w:tc>
          <w:tcPr>
            <w:tcW w:type="dxa" w:w="8136"/>
            <w:vAlign w:val="center"/>
          </w:tcPr>
          <w:p>
            <w:pPr>
              <w:pStyle w:val="Tablecopy"/>
            </w:pPr>
            <w:r/>
            <w:r>
              <w:rPr>
                <w:rFonts w:ascii="Inter" w:hAnsi="Inter" w:eastAsia="Inter" w:cs="Inter"/>
                <w:b w:val="0"/>
                <w:color w:val="18181B"/>
                <w:sz w:val="21"/>
              </w:rPr>
              <w:t>An unresolved decision prevents reliable implementation or acceptance.</w:t>
            </w:r>
          </w:p>
        </w:tc>
      </w:tr>
      <w:tr>
        <w:trPr>
          <w:cantSplit/>
        </w:trPr>
        <w:tc>
          <w:tcPr>
            <w:tcW w:type="dxa" w:w="1800"/>
            <w:vAlign w:val="center"/>
          </w:tcPr>
          <w:p>
            <w:pPr>
              <w:pStyle w:val="Tablecopy"/>
            </w:pPr>
            <w:r/>
            <w:r>
              <w:rPr>
                <w:rFonts w:ascii="Inter" w:hAnsi="Inter" w:eastAsia="Inter" w:cs="Inter"/>
                <w:b w:val="0"/>
                <w:color w:val="18181B"/>
                <w:sz w:val="21"/>
              </w:rPr>
              <w:t>Superseded</w:t>
            </w:r>
          </w:p>
        </w:tc>
        <w:tc>
          <w:tcPr>
            <w:tcW w:type="dxa" w:w="8136"/>
            <w:vAlign w:val="center"/>
          </w:tcPr>
          <w:p>
            <w:pPr>
              <w:pStyle w:val="Tablecopy"/>
            </w:pPr>
            <w:r/>
            <w:r>
              <w:rPr>
                <w:rFonts w:ascii="Inter" w:hAnsi="Inter" w:eastAsia="Inter" w:cs="Inter"/>
                <w:b w:val="0"/>
                <w:color w:val="18181B"/>
                <w:sz w:val="21"/>
              </w:rPr>
              <w:t>A later agreed version replaces this one; retain the change record.</w:t>
            </w:r>
          </w:p>
        </w:tc>
      </w:tr>
    </w:tbl>
    <w:p>
      <w:pPr>
        <w:pStyle w:val="Tablegap"/>
      </w:pPr>
    </w:p>
    <w:p>
      <w:pPr>
        <w:pStyle w:val="Small"/>
      </w:pPr>
      <w:r>
        <w:rPr>
          <w:rFonts w:ascii="Inter" w:hAnsi="Inter" w:eastAsia="Inter" w:cs="Inter"/>
          <w:b w:val="0"/>
          <w:color w:val="18181B"/>
        </w:rPr>
        <w:t>Record the version, decision date and approver whenever the status changes. Agreement on this brief establishes a delivery baseline; it does not approve a later release.</w:t>
      </w:r>
    </w:p>
    <w:p>
      <w:pPr>
        <w:pStyle w:val="Eyebrow"/>
        <w:pageBreakBefore/>
      </w:pPr>
      <w:r>
        <w:rPr>
          <w:rFonts w:ascii="Inter" w:hAnsi="Inter" w:eastAsia="Inter" w:cs="Inter"/>
          <w:b w:val="0"/>
          <w:color w:val="18181B"/>
        </w:rPr>
        <w:t>02 / Requirements and acceptance</w:t>
      </w:r>
    </w:p>
    <w:p>
      <w:pPr>
        <w:pStyle w:val="Heading1"/>
      </w:pPr>
      <w:r>
        <w:t>Set the service boundary</w:t>
      </w:r>
    </w:p>
    <w:p>
      <w:pPr>
        <w:pStyle w:val="Deck"/>
      </w:pPr>
      <w:r>
        <w:rPr>
          <w:rFonts w:ascii="Inter" w:hAnsi="Inter" w:eastAsia="Inter" w:cs="Inter"/>
          <w:b w:val="0"/>
          <w:color w:val="18181B"/>
        </w:rPr>
        <w:t>Define the whole task, including the work immediately before and after the software.</w:t>
      </w:r>
    </w:p>
    <w:p>
      <w:pPr>
        <w:pStyle w:val="Heading2"/>
      </w:pPr>
      <w:r>
        <w:t>Map the work that must succeed</w:t>
      </w:r>
    </w:p>
    <w:p>
      <w:r>
        <w:rPr>
          <w:rFonts w:ascii="Inter" w:hAnsi="Inter" w:eastAsia="Inter" w:cs="Inter"/>
          <w:b w:val="0"/>
          <w:color w:val="18181B"/>
        </w:rPr>
        <w:t>Describe the trigger, the actor, the information available at entry and the final state the user can recognize. Include operational users who approve, reconcile, support or correct the transaction. Record the handoff if completion depends on someone outside the product team.</w:t>
      </w:r>
    </w:p>
    <w:p>
      <w:pPr>
        <w:ind w:left="173" w:hanging="173"/>
      </w:pPr>
      <w:r>
        <w:rPr>
          <w:rFonts w:ascii="Inter" w:hAnsi="Inter" w:eastAsia="Inter" w:cs="Inter"/>
          <w:b w:val="0"/>
          <w:color w:val="18181B"/>
        </w:rPr>
        <w:t>•  Entry: what has already happened, which identity is known, and which conditions must be true.</w:t>
      </w:r>
    </w:p>
    <w:p>
      <w:pPr>
        <w:ind w:left="173" w:hanging="173"/>
      </w:pPr>
      <w:r>
        <w:rPr>
          <w:rFonts w:ascii="Inter" w:hAnsi="Inter" w:eastAsia="Inter" w:cs="Inter"/>
          <w:b w:val="0"/>
          <w:color w:val="18181B"/>
        </w:rPr>
        <w:t>•  Main path: the decisions and state changes required to complete the task.</w:t>
      </w:r>
    </w:p>
    <w:p>
      <w:pPr>
        <w:ind w:left="173" w:hanging="173"/>
      </w:pPr>
      <w:r>
        <w:rPr>
          <w:rFonts w:ascii="Inter" w:hAnsi="Inter" w:eastAsia="Inter" w:cs="Inter"/>
          <w:b w:val="0"/>
          <w:color w:val="18181B"/>
        </w:rPr>
        <w:t>•  Exceptions: missing information, invalid input, unavailable dependencies, cancellation and duplicate requests.</w:t>
      </w:r>
    </w:p>
    <w:p>
      <w:pPr>
        <w:ind w:left="173" w:hanging="173"/>
      </w:pPr>
      <w:r>
        <w:rPr>
          <w:rFonts w:ascii="Inter" w:hAnsi="Inter" w:eastAsia="Inter" w:cs="Inter"/>
          <w:b w:val="0"/>
          <w:color w:val="18181B"/>
        </w:rPr>
        <w:t>•  Exit: the durable outcome, the confirmation shown to the user and the next owner of any remaining work.</w:t>
      </w:r>
    </w:p>
    <w:p>
      <w:pPr>
        <w:pStyle w:val="Heading2"/>
      </w:pPr>
      <w:r>
        <w:t>Make exclusions operational</w:t>
      </w:r>
    </w:p>
    <w:p>
      <w:r>
        <w:rPr>
          <w:rFonts w:ascii="Inter" w:hAnsi="Inter" w:eastAsia="Inter" w:cs="Inter"/>
          <w:b w:val="0"/>
          <w:color w:val="18181B"/>
        </w:rPr>
        <w:t>An exclusion should explain what happens instead. If a user cannot amend a submitted request, identify the supported correction route. If a legacy system retains a task, name the handoff and its owner. Avoid leaving the user stranded between an excluded feature and an undefined manual process.</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3096"/>
        <w:gridCol w:w="6840"/>
      </w:tblGrid>
      <w:tr>
        <w:trPr>
          <w:cantSplit/>
          <w:tblHeader/>
        </w:trPr>
        <w:tc>
          <w:tcPr>
            <w:tcW w:type="dxa" w:w="3096"/>
            <w:vAlign w:val="center"/>
            <w:shd w:fill="F4F4F5"/>
          </w:tcPr>
          <w:p>
            <w:pPr>
              <w:pStyle w:val="Tablecopy"/>
            </w:pPr>
            <w:r/>
            <w:r>
              <w:rPr>
                <w:rFonts w:ascii="Inter" w:hAnsi="Inter" w:eastAsia="Inter" w:cs="Inter"/>
                <w:b/>
                <w:color w:val="18181B"/>
                <w:sz w:val="21"/>
              </w:rPr>
              <w:t>Boundary decision</w:t>
            </w:r>
          </w:p>
        </w:tc>
        <w:tc>
          <w:tcPr>
            <w:tcW w:type="dxa" w:w="6840"/>
            <w:vAlign w:val="center"/>
            <w:shd w:fill="F4F4F5"/>
          </w:tcPr>
          <w:p>
            <w:pPr>
              <w:pStyle w:val="Tablecopy"/>
            </w:pPr>
            <w:r/>
            <w:r>
              <w:rPr>
                <w:rFonts w:ascii="Inter" w:hAnsi="Inter" w:eastAsia="Inter" w:cs="Inter"/>
                <w:b/>
                <w:color w:val="18181B"/>
                <w:sz w:val="21"/>
              </w:rPr>
              <w:t>Agreed position</w:t>
            </w:r>
          </w:p>
        </w:tc>
      </w:tr>
      <w:tr>
        <w:trPr>
          <w:cantSplit/>
        </w:trPr>
        <w:tc>
          <w:tcPr>
            <w:tcW w:type="dxa" w:w="3096"/>
            <w:vAlign w:val="center"/>
          </w:tcPr>
          <w:p>
            <w:pPr>
              <w:pStyle w:val="Tablecopy"/>
            </w:pPr>
            <w:r/>
            <w:r>
              <w:rPr>
                <w:rFonts w:ascii="Inter" w:hAnsi="Inter" w:eastAsia="Inter" w:cs="Inter"/>
                <w:b w:val="0"/>
                <w:color w:val="18181B"/>
                <w:sz w:val="21"/>
              </w:rPr>
              <w:t>Users and operating roles</w:t>
            </w:r>
          </w:p>
        </w:tc>
        <w:tc>
          <w:tcPr>
            <w:tcW w:type="dxa" w:w="6840"/>
            <w:vAlign w:val="center"/>
          </w:tcPr>
          <w:p>
            <w:pPr>
              <w:pStyle w:val="Tablecopy"/>
            </w:pPr>
            <w:r/>
            <w:r>
              <w:rPr>
                <w:rFonts w:ascii="Inter" w:hAnsi="Inter" w:eastAsia="Inter" w:cs="Inter"/>
                <w:b w:val="0"/>
                <w:color w:val="18181B"/>
                <w:sz w:val="21"/>
              </w:rPr>
            </w:r>
          </w:p>
        </w:tc>
      </w:tr>
      <w:tr>
        <w:trPr>
          <w:cantSplit/>
        </w:trPr>
        <w:tc>
          <w:tcPr>
            <w:tcW w:type="dxa" w:w="3096"/>
            <w:vAlign w:val="center"/>
          </w:tcPr>
          <w:p>
            <w:pPr>
              <w:pStyle w:val="Tablecopy"/>
            </w:pPr>
            <w:r/>
            <w:r>
              <w:rPr>
                <w:rFonts w:ascii="Inter" w:hAnsi="Inter" w:eastAsia="Inter" w:cs="Inter"/>
                <w:b w:val="0"/>
                <w:color w:val="18181B"/>
                <w:sz w:val="21"/>
              </w:rPr>
              <w:t>Included task and final state</w:t>
            </w:r>
          </w:p>
        </w:tc>
        <w:tc>
          <w:tcPr>
            <w:tcW w:type="dxa" w:w="6840"/>
            <w:vAlign w:val="center"/>
          </w:tcPr>
          <w:p>
            <w:pPr>
              <w:pStyle w:val="Tablecopy"/>
            </w:pPr>
            <w:r/>
            <w:r>
              <w:rPr>
                <w:rFonts w:ascii="Inter" w:hAnsi="Inter" w:eastAsia="Inter" w:cs="Inter"/>
                <w:b w:val="0"/>
                <w:color w:val="18181B"/>
                <w:sz w:val="21"/>
              </w:rPr>
            </w:r>
          </w:p>
        </w:tc>
      </w:tr>
      <w:tr>
        <w:trPr>
          <w:cantSplit/>
        </w:trPr>
        <w:tc>
          <w:tcPr>
            <w:tcW w:type="dxa" w:w="3096"/>
            <w:vAlign w:val="center"/>
          </w:tcPr>
          <w:p>
            <w:pPr>
              <w:pStyle w:val="Tablecopy"/>
            </w:pPr>
            <w:r/>
            <w:r>
              <w:rPr>
                <w:rFonts w:ascii="Inter" w:hAnsi="Inter" w:eastAsia="Inter" w:cs="Inter"/>
                <w:b w:val="0"/>
                <w:color w:val="18181B"/>
                <w:sz w:val="21"/>
              </w:rPr>
              <w:t>Excluded work and alternate route</w:t>
            </w:r>
          </w:p>
        </w:tc>
        <w:tc>
          <w:tcPr>
            <w:tcW w:type="dxa" w:w="6840"/>
            <w:vAlign w:val="center"/>
          </w:tcPr>
          <w:p>
            <w:pPr>
              <w:pStyle w:val="Tablecopy"/>
            </w:pPr>
            <w:r/>
            <w:r>
              <w:rPr>
                <w:rFonts w:ascii="Inter" w:hAnsi="Inter" w:eastAsia="Inter" w:cs="Inter"/>
                <w:b w:val="0"/>
                <w:color w:val="18181B"/>
                <w:sz w:val="21"/>
              </w:rPr>
            </w:r>
          </w:p>
        </w:tc>
      </w:tr>
      <w:tr>
        <w:trPr>
          <w:cantSplit/>
        </w:trPr>
        <w:tc>
          <w:tcPr>
            <w:tcW w:type="dxa" w:w="3096"/>
            <w:vAlign w:val="center"/>
          </w:tcPr>
          <w:p>
            <w:pPr>
              <w:pStyle w:val="Tablecopy"/>
            </w:pPr>
            <w:r/>
            <w:r>
              <w:rPr>
                <w:rFonts w:ascii="Inter" w:hAnsi="Inter" w:eastAsia="Inter" w:cs="Inter"/>
                <w:b w:val="0"/>
                <w:color w:val="18181B"/>
                <w:sz w:val="21"/>
              </w:rPr>
              <w:t>Upstream / downstream owner</w:t>
            </w:r>
          </w:p>
        </w:tc>
        <w:tc>
          <w:tcPr>
            <w:tcW w:type="dxa" w:w="6840"/>
            <w:vAlign w:val="center"/>
          </w:tcPr>
          <w:p>
            <w:pPr>
              <w:pStyle w:val="Tablecopy"/>
            </w:pPr>
            <w:r/>
            <w:r>
              <w:rPr>
                <w:rFonts w:ascii="Inter" w:hAnsi="Inter" w:eastAsia="Inter" w:cs="Inter"/>
                <w:b w:val="0"/>
                <w:color w:val="18181B"/>
                <w:sz w:val="21"/>
              </w:rPr>
            </w:r>
          </w:p>
        </w:tc>
      </w:tr>
    </w:tbl>
    <w:p>
      <w:pPr>
        <w:pStyle w:val="Tablegap"/>
      </w:pPr>
    </w:p>
    <w:p>
      <w:pPr>
        <w:pStyle w:val="Heading2"/>
      </w:pPr>
      <w:r>
        <w:t>Identify constraints with consequences</w:t>
      </w:r>
    </w:p>
    <w:p>
      <w:r>
        <w:rPr>
          <w:rFonts w:ascii="Inter" w:hAnsi="Inter" w:eastAsia="Inter" w:cs="Inter"/>
          <w:b w:val="0"/>
          <w:color w:val="18181B"/>
        </w:rPr>
        <w:t>Separate a fixed constraint from a preference. For each mandated platform, launch date, integration or policy, identify the owner and the consequence of noncompliance. Challenge a constraint whose origin cannot be explained before the team designs around it.</w:t>
      </w:r>
    </w:p>
    <w:p>
      <w:pPr>
        <w:pStyle w:val="Fieldlabel"/>
      </w:pPr>
      <w:r>
        <w:rPr>
          <w:rFonts w:ascii="Inter" w:hAnsi="Inter" w:eastAsia="Inter" w:cs="Inter"/>
          <w:b/>
          <w:color w:val="18181B"/>
        </w:rPr>
        <w:t>Constraint requiring confirmation • owner • decision date</w:t>
      </w:r>
    </w:p>
    <w:sdt>
      <w:sdtPr>
        <w:alias w:val="Constraint requiring confirmation • owner • decision date"/>
        <w:tag w:val="field-38f62a49de54"/>
        <w:id w:val="153577224"/>
      </w:sdtPr>
      <w:sdtContent>
        <w:p>
          <w:pPr>
            <w:pStyle w:val="Entry"/>
            <w:pBdr>
              <w:bottom w:val="single" w:sz="4" w:color="D4D4D8" w:space="1"/>
            </w:pBdr>
          </w:pPr>
          <w:r>
            <w:rPr>
              <w:rFonts w:ascii="Inter" w:hAnsi="Inter" w:eastAsia="Inter" w:cs="Inter"/>
              <w:color w:val="18181B"/>
            </w:rPr>
            <w:t xml:space="preserve"> </w:t>
          </w:r>
        </w:p>
      </w:sdtContent>
    </w:sdt>
    <w:p>
      <w:pPr>
        <w:pStyle w:val="Eyebrow"/>
        <w:pageBreakBefore/>
      </w:pPr>
      <w:r>
        <w:rPr>
          <w:rFonts w:ascii="Inter" w:hAnsi="Inter" w:eastAsia="Inter" w:cs="Inter"/>
          <w:b w:val="0"/>
          <w:color w:val="18181B"/>
        </w:rPr>
        <w:t>03 / Requirements and acceptance</w:t>
      </w:r>
    </w:p>
    <w:p>
      <w:pPr>
        <w:pStyle w:val="Heading1"/>
      </w:pPr>
      <w:r>
        <w:t>Specify behavior that can be tested</w:t>
      </w:r>
    </w:p>
    <w:p>
      <w:pPr>
        <w:pStyle w:val="Deck"/>
      </w:pPr>
      <w:r>
        <w:rPr>
          <w:rFonts w:ascii="Inter" w:hAnsi="Inter" w:eastAsia="Inter" w:cs="Inter"/>
          <w:b w:val="0"/>
          <w:color w:val="18181B"/>
        </w:rPr>
        <w:t>Give each requirement a stable identifier and an observable completion condition.</w:t>
      </w:r>
    </w:p>
    <w:p>
      <w:pPr>
        <w:pStyle w:val="Heading2"/>
      </w:pPr>
      <w:r>
        <w:t>Describe the contract of the behavior</w:t>
      </w:r>
    </w:p>
    <w:p>
      <w:r>
        <w:rPr>
          <w:rFonts w:ascii="Inter" w:hAnsi="Inter" w:eastAsia="Inter" w:cs="Inter"/>
          <w:b w:val="0"/>
          <w:color w:val="18181B"/>
        </w:rPr>
        <w:t>A functional requirement identifies the authorized actor, the trigger, the applicable business rule and the resulting state. Put one independently testable behavior in each requirement. Keep related behaviors linked rather than hiding several decisions in a broad instruction such as “manage customers.”</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520"/>
        <w:gridCol w:w="7416"/>
      </w:tblGrid>
      <w:tr>
        <w:trPr>
          <w:cantSplit/>
          <w:tblHeader/>
        </w:trPr>
        <w:tc>
          <w:tcPr>
            <w:tcW w:type="dxa" w:w="2520"/>
            <w:vAlign w:val="center"/>
            <w:shd w:fill="F4F4F5"/>
          </w:tcPr>
          <w:p>
            <w:pPr>
              <w:pStyle w:val="Tablecopy"/>
            </w:pPr>
            <w:r/>
            <w:r>
              <w:rPr>
                <w:rFonts w:ascii="Inter" w:hAnsi="Inter" w:eastAsia="Inter" w:cs="Inter"/>
                <w:b/>
                <w:color w:val="18181B"/>
                <w:sz w:val="21"/>
              </w:rPr>
              <w:t>Required detail</w:t>
            </w:r>
          </w:p>
        </w:tc>
        <w:tc>
          <w:tcPr>
            <w:tcW w:type="dxa" w:w="7416"/>
            <w:vAlign w:val="center"/>
            <w:shd w:fill="F4F4F5"/>
          </w:tcPr>
          <w:p>
            <w:pPr>
              <w:pStyle w:val="Tablecopy"/>
            </w:pPr>
            <w:r/>
            <w:r>
              <w:rPr>
                <w:rFonts w:ascii="Inter" w:hAnsi="Inter" w:eastAsia="Inter" w:cs="Inter"/>
                <w:b/>
                <w:color w:val="18181B"/>
                <w:sz w:val="21"/>
              </w:rPr>
              <w:t>What the reviewer must be able to answer</w:t>
            </w:r>
          </w:p>
        </w:tc>
      </w:tr>
      <w:tr>
        <w:trPr>
          <w:cantSplit/>
        </w:trPr>
        <w:tc>
          <w:tcPr>
            <w:tcW w:type="dxa" w:w="2520"/>
            <w:vAlign w:val="center"/>
          </w:tcPr>
          <w:p>
            <w:pPr>
              <w:pStyle w:val="Tablecopy"/>
            </w:pPr>
            <w:r/>
            <w:r>
              <w:rPr>
                <w:rFonts w:ascii="Inter" w:hAnsi="Inter" w:eastAsia="Inter" w:cs="Inter"/>
                <w:b w:val="0"/>
                <w:color w:val="18181B"/>
                <w:sz w:val="21"/>
              </w:rPr>
              <w:t>Preconditions</w:t>
            </w:r>
          </w:p>
        </w:tc>
        <w:tc>
          <w:tcPr>
            <w:tcW w:type="dxa" w:w="7416"/>
            <w:vAlign w:val="center"/>
          </w:tcPr>
          <w:p>
            <w:pPr>
              <w:pStyle w:val="Tablecopy"/>
            </w:pPr>
            <w:r/>
            <w:r>
              <w:rPr>
                <w:rFonts w:ascii="Inter" w:hAnsi="Inter" w:eastAsia="Inter" w:cs="Inter"/>
                <w:b w:val="0"/>
                <w:color w:val="18181B"/>
                <w:sz w:val="21"/>
              </w:rPr>
              <w:t>Which identity, state and information are required before the action?</w:t>
            </w:r>
          </w:p>
        </w:tc>
      </w:tr>
      <w:tr>
        <w:trPr>
          <w:cantSplit/>
        </w:trPr>
        <w:tc>
          <w:tcPr>
            <w:tcW w:type="dxa" w:w="2520"/>
            <w:vAlign w:val="center"/>
          </w:tcPr>
          <w:p>
            <w:pPr>
              <w:pStyle w:val="Tablecopy"/>
            </w:pPr>
            <w:r/>
            <w:r>
              <w:rPr>
                <w:rFonts w:ascii="Inter" w:hAnsi="Inter" w:eastAsia="Inter" w:cs="Inter"/>
                <w:b w:val="0"/>
                <w:color w:val="18181B"/>
                <w:sz w:val="21"/>
              </w:rPr>
              <w:t>Successful outcome</w:t>
            </w:r>
          </w:p>
        </w:tc>
        <w:tc>
          <w:tcPr>
            <w:tcW w:type="dxa" w:w="7416"/>
            <w:vAlign w:val="center"/>
          </w:tcPr>
          <w:p>
            <w:pPr>
              <w:pStyle w:val="Tablecopy"/>
            </w:pPr>
            <w:r/>
            <w:r>
              <w:rPr>
                <w:rFonts w:ascii="Inter" w:hAnsi="Inter" w:eastAsia="Inter" w:cs="Inter"/>
                <w:b w:val="0"/>
                <w:color w:val="18181B"/>
                <w:sz w:val="21"/>
              </w:rPr>
              <w:t>What changes, what persists and how is completion communicated?</w:t>
            </w:r>
          </w:p>
        </w:tc>
      </w:tr>
      <w:tr>
        <w:trPr>
          <w:cantSplit/>
        </w:trPr>
        <w:tc>
          <w:tcPr>
            <w:tcW w:type="dxa" w:w="2520"/>
            <w:vAlign w:val="center"/>
          </w:tcPr>
          <w:p>
            <w:pPr>
              <w:pStyle w:val="Tablecopy"/>
            </w:pPr>
            <w:r/>
            <w:r>
              <w:rPr>
                <w:rFonts w:ascii="Inter" w:hAnsi="Inter" w:eastAsia="Inter" w:cs="Inter"/>
                <w:b w:val="0"/>
                <w:color w:val="18181B"/>
                <w:sz w:val="21"/>
              </w:rPr>
              <w:t>Rejected action</w:t>
            </w:r>
          </w:p>
        </w:tc>
        <w:tc>
          <w:tcPr>
            <w:tcW w:type="dxa" w:w="7416"/>
            <w:vAlign w:val="center"/>
          </w:tcPr>
          <w:p>
            <w:pPr>
              <w:pStyle w:val="Tablecopy"/>
            </w:pPr>
            <w:r/>
            <w:r>
              <w:rPr>
                <w:rFonts w:ascii="Inter" w:hAnsi="Inter" w:eastAsia="Inter" w:cs="Inter"/>
                <w:b w:val="0"/>
                <w:color w:val="18181B"/>
                <w:sz w:val="21"/>
              </w:rPr>
              <w:t>Which conditions prevent the action, and what can the user do next?</w:t>
            </w:r>
          </w:p>
        </w:tc>
      </w:tr>
      <w:tr>
        <w:trPr>
          <w:cantSplit/>
        </w:trPr>
        <w:tc>
          <w:tcPr>
            <w:tcW w:type="dxa" w:w="2520"/>
            <w:vAlign w:val="center"/>
          </w:tcPr>
          <w:p>
            <w:pPr>
              <w:pStyle w:val="Tablecopy"/>
            </w:pPr>
            <w:r/>
            <w:r>
              <w:rPr>
                <w:rFonts w:ascii="Inter" w:hAnsi="Inter" w:eastAsia="Inter" w:cs="Inter"/>
                <w:b w:val="0"/>
                <w:color w:val="18181B"/>
                <w:sz w:val="21"/>
              </w:rPr>
              <w:t>Repeat or conflict</w:t>
            </w:r>
          </w:p>
        </w:tc>
        <w:tc>
          <w:tcPr>
            <w:tcW w:type="dxa" w:w="7416"/>
            <w:vAlign w:val="center"/>
          </w:tcPr>
          <w:p>
            <w:pPr>
              <w:pStyle w:val="Tablecopy"/>
            </w:pPr>
            <w:r/>
            <w:r>
              <w:rPr>
                <w:rFonts w:ascii="Inter" w:hAnsi="Inter" w:eastAsia="Inter" w:cs="Inter"/>
                <w:b w:val="0"/>
                <w:color w:val="18181B"/>
                <w:sz w:val="21"/>
              </w:rPr>
              <w:t>What happens if a request is repeated or two users act on the same record?</w:t>
            </w:r>
          </w:p>
        </w:tc>
      </w:tr>
      <w:tr>
        <w:trPr>
          <w:cantSplit/>
        </w:trPr>
        <w:tc>
          <w:tcPr>
            <w:tcW w:type="dxa" w:w="2520"/>
            <w:vAlign w:val="center"/>
          </w:tcPr>
          <w:p>
            <w:pPr>
              <w:pStyle w:val="Tablecopy"/>
            </w:pPr>
            <w:r/>
            <w:r>
              <w:rPr>
                <w:rFonts w:ascii="Inter" w:hAnsi="Inter" w:eastAsia="Inter" w:cs="Inter"/>
                <w:b w:val="0"/>
                <w:color w:val="18181B"/>
                <w:sz w:val="21"/>
              </w:rPr>
              <w:t>Evidence</w:t>
            </w:r>
          </w:p>
        </w:tc>
        <w:tc>
          <w:tcPr>
            <w:tcW w:type="dxa" w:w="7416"/>
            <w:vAlign w:val="center"/>
          </w:tcPr>
          <w:p>
            <w:pPr>
              <w:pStyle w:val="Tablecopy"/>
            </w:pPr>
            <w:r/>
            <w:r>
              <w:rPr>
                <w:rFonts w:ascii="Inter" w:hAnsi="Inter" w:eastAsia="Inter" w:cs="Inter"/>
                <w:b w:val="0"/>
                <w:color w:val="18181B"/>
                <w:sz w:val="21"/>
              </w:rPr>
              <w:t>Which test, inspection or operational record demonstrates the behavior?</w:t>
            </w:r>
          </w:p>
        </w:tc>
      </w:tr>
    </w:tbl>
    <w:p>
      <w:pPr>
        <w:pStyle w:val="Tablegap"/>
      </w:pPr>
    </w:p>
    <w:p>
      <w:pPr>
        <w:pStyle w:val="Heading2"/>
      </w:pPr>
      <w:r>
        <w:t>Specify access by action and scope</w:t>
      </w:r>
    </w:p>
    <w:p>
      <w:r>
        <w:rPr>
          <w:rFonts w:ascii="Inter" w:hAnsi="Inter" w:eastAsia="Inter" w:cs="Inter"/>
          <w:b w:val="0"/>
          <w:color w:val="18181B"/>
        </w:rPr>
        <w:t>A role name alone does not define permission. Distinguish viewing, creating, changing, approving, exporting and deleting. State whether access applies to the user’s own records, an assigned group or all records. Apply the same authorization rule to the interface, direct requests, background work and exports.</w:t>
      </w:r>
    </w:p>
    <w:p>
      <w:r>
        <w:rPr>
          <w:rFonts w:ascii="Inter" w:hAnsi="Inter" w:eastAsia="Inter" w:cs="Inter"/>
          <w:b w:val="0"/>
          <w:color w:val="18181B"/>
        </w:rPr>
        <w:t>Decide whether an approval requires a different person from the originator. Specify what happens to sessions and queued actions when access changes. Define the audit event for sensitive actions, including actor, action, target, time and result; exclude secrets from the record.</w:t>
      </w:r>
    </w:p>
    <w:p>
      <w:pPr>
        <w:pStyle w:val="Heading2"/>
      </w:pPr>
      <w:r>
        <w:t>Requirement record</w:t>
      </w:r>
    </w:p>
    <w:p>
      <w:pPr>
        <w:pStyle w:val="Fieldlabel"/>
      </w:pPr>
      <w:r>
        <w:rPr>
          <w:rFonts w:ascii="Inter" w:hAnsi="Inter" w:eastAsia="Inter" w:cs="Inter"/>
          <w:b/>
          <w:color w:val="18181B"/>
        </w:rPr>
        <w:t>Identifier • actor • priority • owner</w:t>
      </w:r>
    </w:p>
    <w:sdt>
      <w:sdtPr>
        <w:alias w:val="Identifier • actor • priority • owner"/>
        <w:tag w:val="field-f62da513c243"/>
        <w:id w:val="8362745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Trigger and preconditions</w:t>
      </w:r>
    </w:p>
    <w:sdt>
      <w:sdtPr>
        <w:alias w:val="Trigger and preconditions"/>
        <w:tag w:val="field-24dfdc9e6c4c"/>
        <w:id w:val="47171383"/>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Required result • refusal / retry behavior</w:t>
      </w:r>
    </w:p>
    <w:sdt>
      <w:sdtPr>
        <w:alias w:val="Required result • refusal / retry behavior"/>
        <w:tag w:val="field-9507afcea37b"/>
        <w:id w:val="18624154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Acceptance evidence • reviewer</w:t>
      </w:r>
    </w:p>
    <w:sdt>
      <w:sdtPr>
        <w:alias w:val="Acceptance evidence • reviewer"/>
        <w:tag w:val="field-238a7bae5efd"/>
        <w:id w:val="71476583"/>
      </w:sdtPr>
      <w:sdtContent>
        <w:p>
          <w:pPr>
            <w:pStyle w:val="Entry"/>
            <w:pBdr>
              <w:bottom w:val="single" w:sz="4" w:color="D4D4D8" w:space="1"/>
            </w:pBdr>
          </w:pPr>
          <w:r>
            <w:rPr>
              <w:rFonts w:ascii="Inter" w:hAnsi="Inter" w:eastAsia="Inter" w:cs="Inter"/>
              <w:color w:val="18181B"/>
            </w:rPr>
            <w:t xml:space="preserve"> </w:t>
          </w:r>
        </w:p>
      </w:sdtContent>
    </w:sdt>
    <w:p>
      <w:pPr>
        <w:pStyle w:val="Eyebrow"/>
        <w:pageBreakBefore/>
      </w:pPr>
      <w:r>
        <w:rPr>
          <w:rFonts w:ascii="Inter" w:hAnsi="Inter" w:eastAsia="Inter" w:cs="Inter"/>
          <w:b w:val="0"/>
          <w:color w:val="18181B"/>
        </w:rPr>
        <w:t>04 / Requirements and acceptance</w:t>
      </w:r>
    </w:p>
    <w:p>
      <w:pPr>
        <w:pStyle w:val="Heading1"/>
      </w:pPr>
      <w:r>
        <w:t>Agree the data and integration contract</w:t>
      </w:r>
    </w:p>
    <w:p>
      <w:pPr>
        <w:pStyle w:val="Deck"/>
      </w:pPr>
      <w:r>
        <w:rPr>
          <w:rFonts w:ascii="Inter" w:hAnsi="Inter" w:eastAsia="Inter" w:cs="Inter"/>
          <w:b w:val="0"/>
          <w:color w:val="18181B"/>
        </w:rPr>
        <w:t>Make ownership, state and failure handling explicit before teams connect systems.</w:t>
      </w:r>
    </w:p>
    <w:p>
      <w:pPr>
        <w:pStyle w:val="Heading2"/>
      </w:pPr>
      <w:r>
        <w:t>Name the authoritative record</w:t>
      </w:r>
    </w:p>
    <w:p>
      <w:r>
        <w:rPr>
          <w:rFonts w:ascii="Inter" w:hAnsi="Inter" w:eastAsia="Inter" w:cs="Inter"/>
          <w:b w:val="0"/>
          <w:color w:val="18181B"/>
        </w:rPr>
        <w:t>For each business entity, identify the system that owns it, its stable identifier and the fields another system may change. Decide how conflicts are resolved. A successful screen message must correspond to a durable outcome, or clearly explain that processing is still pending.</w:t>
      </w:r>
    </w:p>
    <w:p>
      <w:r>
        <w:rPr>
          <w:rFonts w:ascii="Inter" w:hAnsi="Inter" w:eastAsia="Inter" w:cs="Inter"/>
          <w:b w:val="0"/>
          <w:color w:val="18181B"/>
        </w:rPr>
        <w:t>Define necessary personal or sensitive data, its permitted purpose and the retention decision owner. Separate retention from user visibility: hiding a record does not remove stored copies. Cover exports, logs, attachments and backups in the data handling decision.</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376"/>
        <w:gridCol w:w="7560"/>
      </w:tblGrid>
      <w:tr>
        <w:trPr>
          <w:cantSplit/>
          <w:tblHeader/>
        </w:trPr>
        <w:tc>
          <w:tcPr>
            <w:tcW w:type="dxa" w:w="2376"/>
            <w:vAlign w:val="center"/>
            <w:shd w:fill="F4F4F5"/>
          </w:tcPr>
          <w:p>
            <w:pPr>
              <w:pStyle w:val="Tablecopy"/>
            </w:pPr>
            <w:r/>
            <w:r>
              <w:rPr>
                <w:rFonts w:ascii="Inter" w:hAnsi="Inter" w:eastAsia="Inter" w:cs="Inter"/>
                <w:b/>
                <w:color w:val="18181B"/>
                <w:sz w:val="21"/>
              </w:rPr>
              <w:t>Contract area</w:t>
            </w:r>
          </w:p>
        </w:tc>
        <w:tc>
          <w:tcPr>
            <w:tcW w:type="dxa" w:w="7560"/>
            <w:vAlign w:val="center"/>
            <w:shd w:fill="F4F4F5"/>
          </w:tcPr>
          <w:p>
            <w:pPr>
              <w:pStyle w:val="Tablecopy"/>
            </w:pPr>
            <w:r/>
            <w:r>
              <w:rPr>
                <w:rFonts w:ascii="Inter" w:hAnsi="Inter" w:eastAsia="Inter" w:cs="Inter"/>
                <w:b/>
                <w:color w:val="18181B"/>
                <w:sz w:val="21"/>
              </w:rPr>
              <w:t>Decision to record</w:t>
            </w:r>
          </w:p>
        </w:tc>
      </w:tr>
      <w:tr>
        <w:trPr>
          <w:cantSplit/>
        </w:trPr>
        <w:tc>
          <w:tcPr>
            <w:tcW w:type="dxa" w:w="2376"/>
            <w:vAlign w:val="center"/>
          </w:tcPr>
          <w:p>
            <w:pPr>
              <w:pStyle w:val="Tablecopy"/>
            </w:pPr>
            <w:r/>
            <w:r>
              <w:rPr>
                <w:rFonts w:ascii="Inter" w:hAnsi="Inter" w:eastAsia="Inter" w:cs="Inter"/>
                <w:b w:val="0"/>
                <w:color w:val="18181B"/>
                <w:sz w:val="21"/>
              </w:rPr>
              <w:t>Exchange</w:t>
            </w:r>
          </w:p>
        </w:tc>
        <w:tc>
          <w:tcPr>
            <w:tcW w:type="dxa" w:w="7560"/>
            <w:vAlign w:val="center"/>
          </w:tcPr>
          <w:p>
            <w:pPr>
              <w:pStyle w:val="Tablecopy"/>
            </w:pPr>
            <w:r/>
            <w:r>
              <w:rPr>
                <w:rFonts w:ascii="Inter" w:hAnsi="Inter" w:eastAsia="Inter" w:cs="Inter"/>
                <w:b w:val="0"/>
                <w:color w:val="18181B"/>
                <w:sz w:val="21"/>
              </w:rPr>
              <w:t>Trigger, direction, format, schema version and required fields.</w:t>
            </w:r>
          </w:p>
        </w:tc>
      </w:tr>
      <w:tr>
        <w:trPr>
          <w:cantSplit/>
        </w:trPr>
        <w:tc>
          <w:tcPr>
            <w:tcW w:type="dxa" w:w="2376"/>
            <w:vAlign w:val="center"/>
          </w:tcPr>
          <w:p>
            <w:pPr>
              <w:pStyle w:val="Tablecopy"/>
            </w:pPr>
            <w:r/>
            <w:r>
              <w:rPr>
                <w:rFonts w:ascii="Inter" w:hAnsi="Inter" w:eastAsia="Inter" w:cs="Inter"/>
                <w:b w:val="0"/>
                <w:color w:val="18181B"/>
                <w:sz w:val="21"/>
              </w:rPr>
              <w:t>Identity</w:t>
            </w:r>
          </w:p>
        </w:tc>
        <w:tc>
          <w:tcPr>
            <w:tcW w:type="dxa" w:w="7560"/>
            <w:vAlign w:val="center"/>
          </w:tcPr>
          <w:p>
            <w:pPr>
              <w:pStyle w:val="Tablecopy"/>
            </w:pPr>
            <w:r/>
            <w:r>
              <w:rPr>
                <w:rFonts w:ascii="Inter" w:hAnsi="Inter" w:eastAsia="Inter" w:cs="Inter"/>
                <w:b w:val="0"/>
                <w:color w:val="18181B"/>
                <w:sz w:val="21"/>
              </w:rPr>
              <w:t>Authentication mechanism, authorization scope and credential owner.</w:t>
            </w:r>
          </w:p>
        </w:tc>
      </w:tr>
      <w:tr>
        <w:trPr>
          <w:cantSplit/>
        </w:trPr>
        <w:tc>
          <w:tcPr>
            <w:tcW w:type="dxa" w:w="2376"/>
            <w:vAlign w:val="center"/>
          </w:tcPr>
          <w:p>
            <w:pPr>
              <w:pStyle w:val="Tablecopy"/>
            </w:pPr>
            <w:r/>
            <w:r>
              <w:rPr>
                <w:rFonts w:ascii="Inter" w:hAnsi="Inter" w:eastAsia="Inter" w:cs="Inter"/>
                <w:b w:val="0"/>
                <w:color w:val="18181B"/>
                <w:sz w:val="21"/>
              </w:rPr>
              <w:t>Delivery</w:t>
            </w:r>
          </w:p>
        </w:tc>
        <w:tc>
          <w:tcPr>
            <w:tcW w:type="dxa" w:w="7560"/>
            <w:vAlign w:val="center"/>
          </w:tcPr>
          <w:p>
            <w:pPr>
              <w:pStyle w:val="Tablecopy"/>
            </w:pPr>
            <w:r/>
            <w:r>
              <w:rPr>
                <w:rFonts w:ascii="Inter" w:hAnsi="Inter" w:eastAsia="Inter" w:cs="Inter"/>
                <w:b w:val="0"/>
                <w:color w:val="18181B"/>
                <w:sz w:val="21"/>
              </w:rPr>
              <w:t>Timeout, retry policy, duplicate handling and ordering assumptions.</w:t>
            </w:r>
          </w:p>
        </w:tc>
      </w:tr>
      <w:tr>
        <w:trPr>
          <w:cantSplit/>
        </w:trPr>
        <w:tc>
          <w:tcPr>
            <w:tcW w:type="dxa" w:w="2376"/>
            <w:vAlign w:val="center"/>
          </w:tcPr>
          <w:p>
            <w:pPr>
              <w:pStyle w:val="Tablecopy"/>
            </w:pPr>
            <w:r/>
            <w:r>
              <w:rPr>
                <w:rFonts w:ascii="Inter" w:hAnsi="Inter" w:eastAsia="Inter" w:cs="Inter"/>
                <w:b w:val="0"/>
                <w:color w:val="18181B"/>
                <w:sz w:val="21"/>
              </w:rPr>
              <w:t>Failure</w:t>
            </w:r>
          </w:p>
        </w:tc>
        <w:tc>
          <w:tcPr>
            <w:tcW w:type="dxa" w:w="7560"/>
            <w:vAlign w:val="center"/>
          </w:tcPr>
          <w:p>
            <w:pPr>
              <w:pStyle w:val="Tablecopy"/>
            </w:pPr>
            <w:r/>
            <w:r>
              <w:rPr>
                <w:rFonts w:ascii="Inter" w:hAnsi="Inter" w:eastAsia="Inter" w:cs="Inter"/>
                <w:b w:val="0"/>
                <w:color w:val="18181B"/>
                <w:sz w:val="21"/>
              </w:rPr>
              <w:t>User-visible state, alert route, reconciliation and repair owner.</w:t>
            </w:r>
          </w:p>
        </w:tc>
      </w:tr>
      <w:tr>
        <w:trPr>
          <w:cantSplit/>
        </w:trPr>
        <w:tc>
          <w:tcPr>
            <w:tcW w:type="dxa" w:w="2376"/>
            <w:vAlign w:val="center"/>
          </w:tcPr>
          <w:p>
            <w:pPr>
              <w:pStyle w:val="Tablecopy"/>
            </w:pPr>
            <w:r/>
            <w:r>
              <w:rPr>
                <w:rFonts w:ascii="Inter" w:hAnsi="Inter" w:eastAsia="Inter" w:cs="Inter"/>
                <w:b w:val="0"/>
                <w:color w:val="18181B"/>
                <w:sz w:val="21"/>
              </w:rPr>
              <w:t>Change</w:t>
            </w:r>
          </w:p>
        </w:tc>
        <w:tc>
          <w:tcPr>
            <w:tcW w:type="dxa" w:w="7560"/>
            <w:vAlign w:val="center"/>
          </w:tcPr>
          <w:p>
            <w:pPr>
              <w:pStyle w:val="Tablecopy"/>
            </w:pPr>
            <w:r/>
            <w:r>
              <w:rPr>
                <w:rFonts w:ascii="Inter" w:hAnsi="Inter" w:eastAsia="Inter" w:cs="Inter"/>
                <w:b w:val="0"/>
                <w:color w:val="18181B"/>
                <w:sz w:val="21"/>
              </w:rPr>
              <w:t>Compatibility rule, notification route and retirement process.</w:t>
            </w:r>
          </w:p>
        </w:tc>
      </w:tr>
    </w:tbl>
    <w:p>
      <w:pPr>
        <w:pStyle w:val="Tablegap"/>
      </w:pPr>
    </w:p>
    <w:p>
      <w:pPr>
        <w:pStyle w:val="Heading2"/>
      </w:pPr>
      <w:r>
        <w:t>Plan for uncertain outcomes</w:t>
      </w:r>
    </w:p>
    <w:p>
      <w:r>
        <w:rPr>
          <w:rFonts w:ascii="Inter" w:hAnsi="Inter" w:eastAsia="Inter" w:cs="Inter"/>
          <w:b w:val="0"/>
          <w:color w:val="18181B"/>
        </w:rPr>
        <w:t>A timeout does not prove that the receiving system did nothing. Define how the sender discovers the result before retrying an action that may create another payment, booking or record. Where supported, use a stable operation identifier and an agreed deduplication rule. Decide how long that protection remains valid.</w:t>
      </w:r>
    </w:p>
    <w:p>
      <w:pPr>
        <w:pStyle w:val="Heading2"/>
      </w:pPr>
      <w:r>
        <w:t>Treat migration as a separate acceptance decision</w:t>
      </w:r>
    </w:p>
    <w:p>
      <w:r>
        <w:rPr>
          <w:rFonts w:ascii="Inter" w:hAnsi="Inter" w:eastAsia="Inter" w:cs="Inter"/>
          <w:b w:val="0"/>
          <w:color w:val="18181B"/>
        </w:rPr>
        <w:t>Record the source, transformation rules, reconciliation checks and rollback boundary. Reconcile business meaning as well as row counts: relationships, balances, permissions and status can be wrong even when totals match. Identify which system may accept writes during cutover.</w:t>
      </w:r>
    </w:p>
    <w:p>
      <w:pPr>
        <w:pStyle w:val="Fieldlabel"/>
      </w:pPr>
      <w:r>
        <w:rPr>
          <w:rFonts w:ascii="Inter" w:hAnsi="Inter" w:eastAsia="Inter" w:cs="Inter"/>
          <w:b/>
          <w:color w:val="18181B"/>
        </w:rPr>
        <w:t>Authoritative systems and contract owners</w:t>
      </w:r>
    </w:p>
    <w:sdt>
      <w:sdtPr>
        <w:alias w:val="Authoritative systems and contract owners"/>
        <w:tag w:val="field-db8705391669"/>
        <w:id w:val="1402336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Unresolved failure or migration decision • owner • due date</w:t>
      </w:r>
    </w:p>
    <w:sdt>
      <w:sdtPr>
        <w:alias w:val="Unresolved failure or migration decision • owner • due date"/>
        <w:tag w:val="field-30da272a0fd6"/>
        <w:id w:val="254401978"/>
      </w:sdtPr>
      <w:sdtContent>
        <w:p>
          <w:pPr>
            <w:pStyle w:val="Entry"/>
            <w:pBdr>
              <w:bottom w:val="single" w:sz="4" w:color="D4D4D8" w:space="1"/>
            </w:pBdr>
          </w:pPr>
          <w:r>
            <w:rPr>
              <w:rFonts w:ascii="Inter" w:hAnsi="Inter" w:eastAsia="Inter" w:cs="Inter"/>
              <w:color w:val="18181B"/>
            </w:rPr>
            <w:t xml:space="preserve"> </w:t>
          </w:r>
        </w:p>
      </w:sdtContent>
    </w:sdt>
    <w:p>
      <w:pPr>
        <w:pStyle w:val="Eyebrow"/>
        <w:pageBreakBefore/>
      </w:pPr>
      <w:r>
        <w:rPr>
          <w:rFonts w:ascii="Inter" w:hAnsi="Inter" w:eastAsia="Inter" w:cs="Inter"/>
          <w:b w:val="0"/>
          <w:color w:val="18181B"/>
        </w:rPr>
        <w:t>05 / Requirements and acceptance</w:t>
      </w:r>
    </w:p>
    <w:p>
      <w:pPr>
        <w:pStyle w:val="Heading1"/>
      </w:pPr>
      <w:r>
        <w:t>Set quality requirements with a test method</w:t>
      </w:r>
    </w:p>
    <w:p>
      <w:pPr>
        <w:pStyle w:val="Deck"/>
      </w:pPr>
      <w:r>
        <w:rPr>
          <w:rFonts w:ascii="Inter" w:hAnsi="Inter" w:eastAsia="Inter" w:cs="Inter"/>
          <w:b w:val="0"/>
          <w:color w:val="18181B"/>
        </w:rPr>
        <w:t>Replace adjectives with conditions, measures and an accountable acceptance owner.</w:t>
      </w:r>
    </w:p>
    <w:p>
      <w:r>
        <w:rPr>
          <w:rFonts w:ascii="Inter" w:hAnsi="Inter" w:eastAsia="Inter" w:cs="Inter"/>
          <w:b w:val="0"/>
          <w:color w:val="18181B"/>
        </w:rPr>
        <w:t>“Fast,” “secure” and “easy to use” do not tell a team when it has finished. Define the operating conditions first: expected users, devices, network conditions, data volume, access patterns and periods of concentrated demand. Choose thresholds from user needs and business exposure.</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232"/>
        <w:gridCol w:w="7704"/>
      </w:tblGrid>
      <w:tr>
        <w:trPr>
          <w:cantSplit/>
          <w:tblHeader/>
        </w:trPr>
        <w:tc>
          <w:tcPr>
            <w:tcW w:type="dxa" w:w="2232"/>
            <w:vAlign w:val="center"/>
            <w:shd w:fill="F4F4F5"/>
          </w:tcPr>
          <w:p>
            <w:pPr>
              <w:pStyle w:val="Tablecopy"/>
            </w:pPr>
            <w:r/>
            <w:r>
              <w:rPr>
                <w:rFonts w:ascii="Inter" w:hAnsi="Inter" w:eastAsia="Inter" w:cs="Inter"/>
                <w:b/>
                <w:color w:val="18181B"/>
                <w:sz w:val="21"/>
              </w:rPr>
              <w:t>Quality area</w:t>
            </w:r>
          </w:p>
        </w:tc>
        <w:tc>
          <w:tcPr>
            <w:tcW w:type="dxa" w:w="7704"/>
            <w:vAlign w:val="center"/>
            <w:shd w:fill="F4F4F5"/>
          </w:tcPr>
          <w:p>
            <w:pPr>
              <w:pStyle w:val="Tablecopy"/>
            </w:pPr>
            <w:r/>
            <w:r>
              <w:rPr>
                <w:rFonts w:ascii="Inter" w:hAnsi="Inter" w:eastAsia="Inter" w:cs="Inter"/>
                <w:b/>
                <w:color w:val="18181B"/>
                <w:sz w:val="21"/>
              </w:rPr>
              <w:t>Required decision and verification</w:t>
            </w:r>
          </w:p>
        </w:tc>
      </w:tr>
      <w:tr>
        <w:trPr>
          <w:cantSplit/>
        </w:trPr>
        <w:tc>
          <w:tcPr>
            <w:tcW w:type="dxa" w:w="2232"/>
            <w:vAlign w:val="center"/>
          </w:tcPr>
          <w:p>
            <w:pPr>
              <w:pStyle w:val="Tablecopy"/>
            </w:pPr>
            <w:r/>
            <w:r>
              <w:rPr>
                <w:rFonts w:ascii="Inter" w:hAnsi="Inter" w:eastAsia="Inter" w:cs="Inter"/>
                <w:b w:val="0"/>
                <w:color w:val="18181B"/>
                <w:sz w:val="21"/>
              </w:rPr>
              <w:t>Performance</w:t>
            </w:r>
          </w:p>
        </w:tc>
        <w:tc>
          <w:tcPr>
            <w:tcW w:type="dxa" w:w="7704"/>
            <w:vAlign w:val="center"/>
          </w:tcPr>
          <w:p>
            <w:pPr>
              <w:pStyle w:val="Tablecopy"/>
            </w:pPr>
            <w:r/>
            <w:r>
              <w:rPr>
                <w:rFonts w:ascii="Inter" w:hAnsi="Inter" w:eastAsia="Inter" w:cs="Inter"/>
                <w:b w:val="0"/>
                <w:color w:val="18181B"/>
                <w:sz w:val="21"/>
              </w:rPr>
              <w:t>Name the transaction, measurement boundary, percentile or other statistic, load profile, threshold and test environment.</w:t>
            </w:r>
          </w:p>
        </w:tc>
      </w:tr>
      <w:tr>
        <w:trPr>
          <w:cantSplit/>
        </w:trPr>
        <w:tc>
          <w:tcPr>
            <w:tcW w:type="dxa" w:w="2232"/>
            <w:vAlign w:val="center"/>
          </w:tcPr>
          <w:p>
            <w:pPr>
              <w:pStyle w:val="Tablecopy"/>
            </w:pPr>
            <w:r/>
            <w:r>
              <w:rPr>
                <w:rFonts w:ascii="Inter" w:hAnsi="Inter" w:eastAsia="Inter" w:cs="Inter"/>
                <w:b w:val="0"/>
                <w:color w:val="18181B"/>
                <w:sz w:val="21"/>
              </w:rPr>
              <w:t>Availability and recovery</w:t>
            </w:r>
          </w:p>
        </w:tc>
        <w:tc>
          <w:tcPr>
            <w:tcW w:type="dxa" w:w="7704"/>
            <w:vAlign w:val="center"/>
          </w:tcPr>
          <w:p>
            <w:pPr>
              <w:pStyle w:val="Tablecopy"/>
            </w:pPr>
            <w:r/>
            <w:r>
              <w:rPr>
                <w:rFonts w:ascii="Inter" w:hAnsi="Inter" w:eastAsia="Inter" w:cs="Inter"/>
                <w:b w:val="0"/>
                <w:color w:val="18181B"/>
                <w:sz w:val="21"/>
              </w:rPr>
              <w:t>Define the service window, acceptable interruption and data loss, recovery owner and restoration evidence.</w:t>
            </w:r>
          </w:p>
        </w:tc>
      </w:tr>
      <w:tr>
        <w:trPr>
          <w:cantSplit/>
        </w:trPr>
        <w:tc>
          <w:tcPr>
            <w:tcW w:type="dxa" w:w="2232"/>
            <w:vAlign w:val="center"/>
          </w:tcPr>
          <w:p>
            <w:pPr>
              <w:pStyle w:val="Tablecopy"/>
            </w:pPr>
            <w:r/>
            <w:r>
              <w:rPr>
                <w:rFonts w:ascii="Inter" w:hAnsi="Inter" w:eastAsia="Inter" w:cs="Inter"/>
                <w:b w:val="0"/>
                <w:color w:val="18181B"/>
                <w:sz w:val="21"/>
              </w:rPr>
              <w:t>Accessibility</w:t>
            </w:r>
          </w:p>
        </w:tc>
        <w:tc>
          <w:tcPr>
            <w:tcW w:type="dxa" w:w="7704"/>
            <w:vAlign w:val="center"/>
          </w:tcPr>
          <w:p>
            <w:pPr>
              <w:pStyle w:val="Tablecopy"/>
            </w:pPr>
            <w:r/>
            <w:r>
              <w:rPr>
                <w:rFonts w:ascii="Inter" w:hAnsi="Inter" w:eastAsia="Inter" w:cs="Inter"/>
                <w:b w:val="0"/>
                <w:color w:val="18181B"/>
                <w:sz w:val="21"/>
              </w:rPr>
              <w:t>Specify the applicable standard, scope, assistive-technology coverage and manual evaluation of critical tasks.</w:t>
            </w:r>
          </w:p>
        </w:tc>
      </w:tr>
      <w:tr>
        <w:trPr>
          <w:cantSplit/>
        </w:trPr>
        <w:tc>
          <w:tcPr>
            <w:tcW w:type="dxa" w:w="2232"/>
            <w:vAlign w:val="center"/>
          </w:tcPr>
          <w:p>
            <w:pPr>
              <w:pStyle w:val="Tablecopy"/>
            </w:pPr>
            <w:r/>
            <w:r>
              <w:rPr>
                <w:rFonts w:ascii="Inter" w:hAnsi="Inter" w:eastAsia="Inter" w:cs="Inter"/>
                <w:b w:val="0"/>
                <w:color w:val="18181B"/>
                <w:sz w:val="21"/>
              </w:rPr>
              <w:t>Security and privacy</w:t>
            </w:r>
          </w:p>
        </w:tc>
        <w:tc>
          <w:tcPr>
            <w:tcW w:type="dxa" w:w="7704"/>
            <w:vAlign w:val="center"/>
          </w:tcPr>
          <w:p>
            <w:pPr>
              <w:pStyle w:val="Tablecopy"/>
            </w:pPr>
            <w:r/>
            <w:r>
              <w:rPr>
                <w:rFonts w:ascii="Inter" w:hAnsi="Inter" w:eastAsia="Inter" w:cs="Inter"/>
                <w:b w:val="0"/>
                <w:color w:val="18181B"/>
                <w:sz w:val="21"/>
              </w:rPr>
              <w:t>Identify threats and data obligations; assign prevention, detection and verification controls to owners.</w:t>
            </w:r>
          </w:p>
        </w:tc>
      </w:tr>
      <w:tr>
        <w:trPr>
          <w:cantSplit/>
        </w:trPr>
        <w:tc>
          <w:tcPr>
            <w:tcW w:type="dxa" w:w="2232"/>
            <w:vAlign w:val="center"/>
          </w:tcPr>
          <w:p>
            <w:pPr>
              <w:pStyle w:val="Tablecopy"/>
            </w:pPr>
            <w:r/>
            <w:r>
              <w:rPr>
                <w:rFonts w:ascii="Inter" w:hAnsi="Inter" w:eastAsia="Inter" w:cs="Inter"/>
                <w:b w:val="0"/>
                <w:color w:val="18181B"/>
                <w:sz w:val="21"/>
              </w:rPr>
              <w:t>Compatibility</w:t>
            </w:r>
          </w:p>
        </w:tc>
        <w:tc>
          <w:tcPr>
            <w:tcW w:type="dxa" w:w="7704"/>
            <w:vAlign w:val="center"/>
          </w:tcPr>
          <w:p>
            <w:pPr>
              <w:pStyle w:val="Tablecopy"/>
            </w:pPr>
            <w:r/>
            <w:r>
              <w:rPr>
                <w:rFonts w:ascii="Inter" w:hAnsi="Inter" w:eastAsia="Inter" w:cs="Inter"/>
                <w:b w:val="0"/>
                <w:color w:val="18181B"/>
                <w:sz w:val="21"/>
              </w:rPr>
              <w:t>List supported browsers, devices, languages and integration versions, with the agreed support boundary.</w:t>
            </w:r>
          </w:p>
        </w:tc>
      </w:tr>
      <w:tr>
        <w:trPr>
          <w:cantSplit/>
        </w:trPr>
        <w:tc>
          <w:tcPr>
            <w:tcW w:type="dxa" w:w="2232"/>
            <w:vAlign w:val="center"/>
          </w:tcPr>
          <w:p>
            <w:pPr>
              <w:pStyle w:val="Tablecopy"/>
            </w:pPr>
            <w:r/>
            <w:r>
              <w:rPr>
                <w:rFonts w:ascii="Inter" w:hAnsi="Inter" w:eastAsia="Inter" w:cs="Inter"/>
                <w:b w:val="0"/>
                <w:color w:val="18181B"/>
                <w:sz w:val="21"/>
              </w:rPr>
              <w:t>Operations</w:t>
            </w:r>
          </w:p>
        </w:tc>
        <w:tc>
          <w:tcPr>
            <w:tcW w:type="dxa" w:w="7704"/>
            <w:vAlign w:val="center"/>
          </w:tcPr>
          <w:p>
            <w:pPr>
              <w:pStyle w:val="Tablecopy"/>
            </w:pPr>
            <w:r/>
            <w:r>
              <w:rPr>
                <w:rFonts w:ascii="Inter" w:hAnsi="Inter" w:eastAsia="Inter" w:cs="Inter"/>
                <w:b w:val="0"/>
                <w:color w:val="18181B"/>
                <w:sz w:val="21"/>
              </w:rPr>
              <w:t>Define monitoring, actionable alerts, support ownership, diagnostic access and configuration change controls.</w:t>
            </w:r>
          </w:p>
        </w:tc>
      </w:tr>
    </w:tbl>
    <w:p>
      <w:pPr>
        <w:pStyle w:val="Tablegap"/>
      </w:pPr>
    </w:p>
    <w:p>
      <w:pPr>
        <w:pStyle w:val="Heading2"/>
      </w:pPr>
      <w:r>
        <w:t>Agree evidence quality</w:t>
      </w:r>
    </w:p>
    <w:p>
      <w:r>
        <w:rPr>
          <w:rFonts w:ascii="Inter" w:hAnsi="Inter" w:eastAsia="Inter" w:cs="Inter"/>
          <w:b w:val="0"/>
          <w:color w:val="18181B"/>
        </w:rPr>
        <w:t>A test result should identify the build, environment, data conditions and procedure. Explain material differences from production. Record the observed result and the acceptance threshold together. A passed automated check is evidence for what it tested; it does not establish that every relevant user journey or failure mode is covered.</w:t>
      </w:r>
    </w:p>
    <w:p>
      <w:pPr>
        <w:pStyle w:val="Heading2"/>
      </w:pPr>
      <w:r>
        <w:t>Quality requirement record</w:t>
      </w:r>
    </w:p>
    <w:p>
      <w:pPr>
        <w:pStyle w:val="Fieldlabel"/>
      </w:pPr>
      <w:r>
        <w:rPr>
          <w:rFonts w:ascii="Inter" w:hAnsi="Inter" w:eastAsia="Inter" w:cs="Inter"/>
          <w:b/>
          <w:color w:val="18181B"/>
        </w:rPr>
        <w:t>Quality requirement • measure and operating conditions</w:t>
      </w:r>
    </w:p>
    <w:sdt>
      <w:sdtPr>
        <w:alias w:val="Quality requirement • measure and operating conditions"/>
        <w:tag w:val="field-664350b8d8f7"/>
        <w:id w:val="5563951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Acceptance threshold • rationale • evidence owner</w:t>
      </w:r>
    </w:p>
    <w:sdt>
      <w:sdtPr>
        <w:alias w:val="Acceptance threshold • rationale • evidence owner"/>
        <w:tag w:val="field-d98385812b9c"/>
        <w:id w:val="3872293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Verification method • environment • review date</w:t>
      </w:r>
    </w:p>
    <w:sdt>
      <w:sdtPr>
        <w:alias w:val="Verification method • environment • review date"/>
        <w:tag w:val="field-cfb00d943584"/>
        <w:id w:val="182260113"/>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If the team cannot measure a proposed requirement, resolve the method or explicitly hold that requirement open. Do not convert “not tested” into “passed.”</w:t>
      </w:r>
    </w:p>
    <w:p>
      <w:pPr>
        <w:pStyle w:val="Eyebrow"/>
        <w:pageBreakBefore/>
      </w:pPr>
      <w:r>
        <w:rPr>
          <w:rFonts w:ascii="Inter" w:hAnsi="Inter" w:eastAsia="Inter" w:cs="Inter"/>
          <w:b w:val="0"/>
          <w:color w:val="18181B"/>
        </w:rPr>
        <w:t>06 / Requirements and acceptance</w:t>
      </w:r>
    </w:p>
    <w:p>
      <w:pPr>
        <w:pStyle w:val="Heading1"/>
      </w:pPr>
      <w:r>
        <w:t>Control acceptance and change</w:t>
      </w:r>
    </w:p>
    <w:p>
      <w:pPr>
        <w:pStyle w:val="Deck"/>
      </w:pPr>
      <w:r>
        <w:rPr>
          <w:rFonts w:ascii="Inter" w:hAnsi="Inter" w:eastAsia="Inter" w:cs="Inter"/>
          <w:b w:val="0"/>
          <w:color w:val="18181B"/>
        </w:rPr>
        <w:t>Keep a visible chain from the user need to the release decision.</w:t>
      </w:r>
    </w:p>
    <w:p>
      <w:pPr>
        <w:pStyle w:val="Heading2"/>
      </w:pPr>
      <w:r>
        <w:t>Use three separate decisions</w:t>
      </w:r>
    </w:p>
    <w:p>
      <w:pPr>
        <w:pStyle w:val="Step"/>
      </w:pPr>
      <w:r>
        <w:rPr>
          <w:rFonts w:ascii="Inter" w:hAnsi="Inter" w:eastAsia="Inter" w:cs="Inter"/>
          <w:b/>
          <w:color w:val="18181B"/>
        </w:rPr>
        <w:t>1. Ready to build</w:t>
      </w:r>
    </w:p>
    <w:p>
      <w:r>
        <w:rPr>
          <w:rFonts w:ascii="Inter" w:hAnsi="Inter" w:eastAsia="Inter" w:cs="Inter"/>
          <w:b w:val="0"/>
          <w:color w:val="18181B"/>
        </w:rPr>
        <w:t>The behavior is understood, dependencies have owners, acceptance evidence is defined and no unresolved issue prevents a responsible estimate. Time-sensitive assumptions have a review date.</w:t>
      </w:r>
    </w:p>
    <w:p>
      <w:pPr>
        <w:pStyle w:val="Step"/>
      </w:pPr>
      <w:r>
        <w:rPr>
          <w:rFonts w:ascii="Inter" w:hAnsi="Inter" w:eastAsia="Inter" w:cs="Inter"/>
          <w:b/>
          <w:color w:val="18181B"/>
        </w:rPr>
        <w:t>2. Requirement accepted</w:t>
      </w:r>
    </w:p>
    <w:p>
      <w:r>
        <w:rPr>
          <w:rFonts w:ascii="Inter" w:hAnsi="Inter" w:eastAsia="Inter" w:cs="Inter"/>
          <w:b w:val="0"/>
          <w:color w:val="18181B"/>
        </w:rPr>
        <w:t>The agreed evidence demonstrates the required outcome under the specified conditions. The acceptance owner records pass, fail or not tested. A failed criterion remains failed even when someone accepts the associated release risk.</w:t>
      </w:r>
    </w:p>
    <w:p>
      <w:pPr>
        <w:pStyle w:val="Step"/>
      </w:pPr>
      <w:r>
        <w:rPr>
          <w:rFonts w:ascii="Inter" w:hAnsi="Inter" w:eastAsia="Inter" w:cs="Inter"/>
          <w:b/>
          <w:color w:val="18181B"/>
        </w:rPr>
        <w:t>3. Release authorized</w:t>
      </w:r>
    </w:p>
    <w:p>
      <w:r>
        <w:rPr>
          <w:rFonts w:ascii="Inter" w:hAnsi="Inter" w:eastAsia="Inter" w:cs="Inter"/>
          <w:b w:val="0"/>
          <w:color w:val="18181B"/>
        </w:rPr>
        <w:t>The release owner considers accepted requirements, unresolved defects, operational readiness and rollback capability together. Any exception records its impact, compensating control, owner and expiry. Approval is tied to an identifiable build and scope.</w:t>
      </w:r>
    </w:p>
    <w:p>
      <w:pPr>
        <w:pStyle w:val="Heading2"/>
      </w:pPr>
      <w:r>
        <w:t>Trace the evidence</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880"/>
        <w:gridCol w:w="4752"/>
        <w:gridCol w:w="2304"/>
      </w:tblGrid>
      <w:tr>
        <w:trPr>
          <w:cantSplit/>
          <w:tblHeader/>
        </w:trPr>
        <w:tc>
          <w:tcPr>
            <w:tcW w:type="dxa" w:w="2880"/>
            <w:vAlign w:val="center"/>
            <w:shd w:fill="F4F4F5"/>
          </w:tcPr>
          <w:p>
            <w:pPr>
              <w:pStyle w:val="Tablecopy"/>
            </w:pPr>
            <w:r/>
            <w:r>
              <w:rPr>
                <w:rFonts w:ascii="Inter" w:hAnsi="Inter" w:eastAsia="Inter" w:cs="Inter"/>
                <w:b/>
                <w:color w:val="18181B"/>
                <w:sz w:val="21"/>
              </w:rPr>
              <w:t>Requirement / version</w:t>
            </w:r>
          </w:p>
        </w:tc>
        <w:tc>
          <w:tcPr>
            <w:tcW w:type="dxa" w:w="4752"/>
            <w:vAlign w:val="center"/>
            <w:shd w:fill="F4F4F5"/>
          </w:tcPr>
          <w:p>
            <w:pPr>
              <w:pStyle w:val="Tablecopy"/>
            </w:pPr>
            <w:r/>
            <w:r>
              <w:rPr>
                <w:rFonts w:ascii="Inter" w:hAnsi="Inter" w:eastAsia="Inter" w:cs="Inter"/>
                <w:b/>
                <w:color w:val="18181B"/>
                <w:sz w:val="21"/>
              </w:rPr>
              <w:t>Evidence / result</w:t>
            </w:r>
          </w:p>
        </w:tc>
        <w:tc>
          <w:tcPr>
            <w:tcW w:type="dxa" w:w="2304"/>
            <w:vAlign w:val="center"/>
            <w:shd w:fill="F4F4F5"/>
          </w:tcPr>
          <w:p>
            <w:pPr>
              <w:pStyle w:val="Tablecopy"/>
            </w:pPr>
            <w:r/>
            <w:r>
              <w:rPr>
                <w:rFonts w:ascii="Inter" w:hAnsi="Inter" w:eastAsia="Inter" w:cs="Inter"/>
                <w:b/>
                <w:color w:val="18181B"/>
                <w:sz w:val="21"/>
              </w:rPr>
              <w:t>Acceptance owner</w:t>
            </w:r>
          </w:p>
        </w:tc>
      </w:tr>
      <w:tr>
        <w:trPr>
          <w:cantSplit/>
        </w:trPr>
        <w:tc>
          <w:tcPr>
            <w:tcW w:type="dxa" w:w="2880"/>
            <w:vAlign w:val="center"/>
          </w:tcPr>
          <w:p>
            <w:pPr>
              <w:pStyle w:val="Tablecopy"/>
            </w:pPr>
            <w:r/>
            <w:r>
              <w:rPr>
                <w:rFonts w:ascii="Inter" w:hAnsi="Inter" w:eastAsia="Inter" w:cs="Inter"/>
                <w:b w:val="0"/>
                <w:color w:val="18181B"/>
                <w:sz w:val="21"/>
              </w:rPr>
            </w:r>
          </w:p>
        </w:tc>
        <w:tc>
          <w:tcPr>
            <w:tcW w:type="dxa" w:w="4752"/>
            <w:vAlign w:val="center"/>
          </w:tcPr>
          <w:p>
            <w:pPr>
              <w:pStyle w:val="Tablecopy"/>
            </w:pPr>
            <w:r/>
            <w:r>
              <w:rPr>
                <w:rFonts w:ascii="Inter" w:hAnsi="Inter" w:eastAsia="Inter" w:cs="Inter"/>
                <w:b w:val="0"/>
                <w:color w:val="18181B"/>
                <w:sz w:val="21"/>
              </w:rPr>
            </w:r>
          </w:p>
        </w:tc>
        <w:tc>
          <w:tcPr>
            <w:tcW w:type="dxa" w:w="2304"/>
            <w:vAlign w:val="center"/>
          </w:tcPr>
          <w:p>
            <w:pPr>
              <w:pStyle w:val="Tablecopy"/>
            </w:pPr>
            <w:r/>
            <w:r>
              <w:rPr>
                <w:rFonts w:ascii="Inter" w:hAnsi="Inter" w:eastAsia="Inter" w:cs="Inter"/>
                <w:b w:val="0"/>
                <w:color w:val="18181B"/>
                <w:sz w:val="21"/>
              </w:rPr>
            </w:r>
          </w:p>
        </w:tc>
      </w:tr>
      <w:tr>
        <w:trPr>
          <w:cantSplit/>
        </w:trPr>
        <w:tc>
          <w:tcPr>
            <w:tcW w:type="dxa" w:w="2880"/>
            <w:vAlign w:val="center"/>
          </w:tcPr>
          <w:p>
            <w:pPr>
              <w:pStyle w:val="Tablecopy"/>
            </w:pPr>
            <w:r/>
            <w:r>
              <w:rPr>
                <w:rFonts w:ascii="Inter" w:hAnsi="Inter" w:eastAsia="Inter" w:cs="Inter"/>
                <w:b w:val="0"/>
                <w:color w:val="18181B"/>
                <w:sz w:val="21"/>
              </w:rPr>
            </w:r>
          </w:p>
        </w:tc>
        <w:tc>
          <w:tcPr>
            <w:tcW w:type="dxa" w:w="4752"/>
            <w:vAlign w:val="center"/>
          </w:tcPr>
          <w:p>
            <w:pPr>
              <w:pStyle w:val="Tablecopy"/>
            </w:pPr>
            <w:r/>
            <w:r>
              <w:rPr>
                <w:rFonts w:ascii="Inter" w:hAnsi="Inter" w:eastAsia="Inter" w:cs="Inter"/>
                <w:b w:val="0"/>
                <w:color w:val="18181B"/>
                <w:sz w:val="21"/>
              </w:rPr>
            </w:r>
          </w:p>
        </w:tc>
        <w:tc>
          <w:tcPr>
            <w:tcW w:type="dxa" w:w="2304"/>
            <w:vAlign w:val="center"/>
          </w:tcPr>
          <w:p>
            <w:pPr>
              <w:pStyle w:val="Tablecopy"/>
            </w:pPr>
            <w:r/>
            <w:r>
              <w:rPr>
                <w:rFonts w:ascii="Inter" w:hAnsi="Inter" w:eastAsia="Inter" w:cs="Inter"/>
                <w:b w:val="0"/>
                <w:color w:val="18181B"/>
                <w:sz w:val="21"/>
              </w:rPr>
            </w:r>
          </w:p>
        </w:tc>
      </w:tr>
    </w:tbl>
    <w:p>
      <w:pPr>
        <w:pStyle w:val="Tablegap"/>
      </w:pPr>
    </w:p>
    <w:p>
      <w:pPr>
        <w:pStyle w:val="Heading2"/>
      </w:pPr>
      <w:r>
        <w:t>Assess a change before making a new promise</w:t>
      </w:r>
    </w:p>
    <w:p>
      <w:r>
        <w:rPr>
          <w:rFonts w:ascii="Inter" w:hAnsi="Inter" w:eastAsia="Inter" w:cs="Inter"/>
          <w:b w:val="0"/>
          <w:color w:val="18181B"/>
        </w:rPr>
        <w:t>Record the requested change and why it is needed. Identify affected behavior, data, controls, integrations and acceptance tests. Engineering and operations assess the delivery and support consequences. The scope owner decides whether to add, defer, exchange or reject the work; update the baseline and notify affected teams.</w:t>
      </w:r>
    </w:p>
    <w:p>
      <w:pPr>
        <w:pStyle w:val="Fieldlabel"/>
      </w:pPr>
      <w:r>
        <w:rPr>
          <w:rFonts w:ascii="Inter" w:hAnsi="Inter" w:eastAsia="Inter" w:cs="Inter"/>
          <w:b/>
          <w:color w:val="18181B"/>
        </w:rPr>
        <w:t>Change decision • affected requirements • approver</w:t>
      </w:r>
    </w:p>
    <w:sdt>
      <w:sdtPr>
        <w:alias w:val="Change decision • affected requirements • approver"/>
        <w:tag w:val="field-5512c2b2ff07"/>
        <w:id w:val="94075752"/>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Remaining acceptance or release condition • owner • due date</w:t>
      </w:r>
    </w:p>
    <w:sdt>
      <w:sdtPr>
        <w:alias w:val="Remaining acceptance or release condition • owner • due date"/>
        <w:tag w:val="field-ea2a584a3245"/>
        <w:id w:val="250805052"/>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Final brief review</w:t>
      </w:r>
    </w:p>
    <w:p>
      <w:pPr>
        <w:pStyle w:val="Checklist"/>
        <w:ind w:left="173" w:hanging="173"/>
      </w:pPr>
      <w:r>
        <w:rPr>
          <w:rFonts w:ascii="Inter" w:hAnsi="Inter" w:eastAsia="Inter" w:cs="Inter"/>
          <w:b w:val="0"/>
          <w:color w:val="18181B"/>
        </w:rPr>
        <w:t>□  The task boundary and handoffs have owners; unresolved decisions are visible.</w:t>
      </w:r>
    </w:p>
    <w:p>
      <w:pPr>
        <w:pStyle w:val="Checklist"/>
        <w:ind w:left="173" w:hanging="173"/>
      </w:pPr>
      <w:r>
        <w:rPr>
          <w:rFonts w:ascii="Inter" w:hAnsi="Inter" w:eastAsia="Inter" w:cs="Inter"/>
          <w:b w:val="0"/>
          <w:color w:val="18181B"/>
        </w:rPr>
        <w:t>□  Requirements cover failure, permissions and measurable quality with acceptance evidence.</w:t>
      </w:r>
    </w:p>
    <w:p>
      <w:pPr>
        <w:pStyle w:val="Checklist"/>
        <w:ind w:left="173" w:hanging="173"/>
      </w:pPr>
      <w:r>
        <w:rPr>
          <w:rFonts w:ascii="Inter" w:hAnsi="Inter" w:eastAsia="Inter" w:cs="Inter"/>
          <w:b w:val="0"/>
          <w:color w:val="18181B"/>
        </w:rPr>
        <w:t>□  The agreed version, decision date and approver are recorded.</w:t>
      </w:r>
    </w:p>
    <w:sectPr w:rsidR="00FC693F" w:rsidRPr="0006063C" w:rsidSect="00034616">
      <w:headerReference w:type="default" r:id="rId9"/>
      <w:footerReference w:type="default" r:id="rId10"/>
      <w:pgSz w:w="12240" w:h="15840"/>
      <w:pgMar w:top="1310" w:right="1152" w:bottom="1008" w:left="1152"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family w:val="swiss"/>
    <w:embedRegular r:id="rIdInter1" w:fontKey="{F18C9813-2F36-475C-9DF7-B20BD1030890}"/>
    <w:embedBold r:id="rIdInter2" w:fontKey="{59C1449D-746F-48D7-9E01-6FE31F720E0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rPr>
        <w:rFonts w:ascii="Inter" w:hAnsi="Inter" w:eastAsia="Inter" w:cs="Inter"/>
        <w:b w:val="0"/>
        <w:color w:val="52525B"/>
        <w:sz w:val="16"/>
      </w:rPr>
      <w:t>© MT BYTES</w:t>
    </w:r>
    <w:r>
      <w:rPr>
        <w:rFonts w:ascii="Inter" w:hAnsi="Inter" w:eastAsia="Inter" w:cs="Inter"/>
        <w:color w:val="18181B"/>
        <w:sz w:val="16"/>
      </w:rPr>
      <w:tab/>
    </w:r>
    <w:r>
      <w:fldChar w:fldCharType="begin"/>
    </w:r>
    <w:r>
      <w:instrText> PAGE </w:instrText>
    </w:r>
    <w:r>
      <w:rPr>
        <w:rFonts w:ascii="Inter" w:hAnsi="Inter" w:eastAsia="Inter" w:cs="Inter"/>
        <w:b w:val="0"/>
        <w:color w:val="52525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36" w:val="right"/>
      </w:tabs>
      <w:spacing w:after="0"/>
    </w:pPr>
    <w:r>
      <w:drawing>
        <wp:inline xmlns:a="http://schemas.openxmlformats.org/drawingml/2006/main" xmlns:pic="http://schemas.openxmlformats.org/drawingml/2006/picture">
          <wp:extent cx="1307592" cy="345695"/>
          <wp:docPr id="1" name="Picture 1" descr="MT BYTES — Innovation in Motion"/>
          <wp:cNvGraphicFramePr>
            <a:graphicFrameLocks noChangeAspect="1"/>
          </wp:cNvGraphicFramePr>
          <a:graphic>
            <a:graphicData uri="http://schemas.openxmlformats.org/drawingml/2006/picture">
              <pic:pic>
                <pic:nvPicPr>
                  <pic:cNvPr id="0" name="mtbytes-logo.png"/>
                  <pic:cNvPicPr/>
                </pic:nvPicPr>
                <pic:blipFill>
                  <a:blip r:embed="rId1"/>
                  <a:stretch>
                    <a:fillRect/>
                  </a:stretch>
                </pic:blipFill>
                <pic:spPr>
                  <a:xfrm>
                    <a:off x="0" y="0"/>
                    <a:ext cx="1307592" cy="345695"/>
                  </a:xfrm>
                  <a:prstGeom prst="rect"/>
                </pic:spPr>
              </pic:pic>
            </a:graphicData>
          </a:graphic>
        </wp:inline>
      </w:drawing>
    </w:r>
    <w:r>
      <w:rPr>
        <w:rFonts w:ascii="Inter" w:hAnsi="Inter" w:eastAsia="Inter" w:cs="Inter"/>
        <w:b w:val="0"/>
        <w:color w:val="000000"/>
        <w:sz w:val="16"/>
      </w:rPr>
      <w:tab/>
      <w:t>Software Requirements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00"/>
    </w:pPr>
    <w:rPr>
      <w:rFonts w:ascii="Inter" w:hAnsi="Inter" w:eastAsia="Inter" w:cs="Inter"/>
      <w:color w:val="18181B"/>
      <w:sz w:val="22"/>
    </w:rPr>
  </w:style>
  <w:style w:type="paragraph" w:styleId="Header">
    <w:name w:val="header"/>
    <w:basedOn w:val="Normal"/>
    <w:link w:val="HeaderChar"/>
    <w:uiPriority w:val="99"/>
    <w:unhideWhenUsed/>
    <w:rsid w:val="00E618BF"/>
    <w:pPr>
      <w:widowControl/>
      <w:spacing w:after="0" w:line="240" w:lineRule="auto"/>
    </w:pPr>
    <w:rPr>
      <w:rFonts w:ascii="Inter" w:hAnsi="Inter" w:eastAsia="Inter" w:cs="Inter"/>
      <w:color w:val="000000"/>
    </w:rPr>
  </w:style>
  <w:style w:type="character" w:customStyle="1" w:styleId="HeaderChar">
    <w:name w:val="Header Char"/>
    <w:basedOn w:val="DefaultParagraphFont"/>
    <w:link w:val="Header"/>
    <w:uiPriority w:val="99"/>
    <w:rsid w:val="00E618BF"/>
    <w:rPr>
      <w:rFonts w:ascii="Inter" w:hAnsi="Inter" w:eastAsia="Inter" w:cs="Inter"/>
      <w:color w:val="000000"/>
    </w:rPr>
  </w:style>
  <w:style w:type="paragraph" w:styleId="Footer">
    <w:name w:val="footer"/>
    <w:basedOn w:val="Normal"/>
    <w:link w:val="FooterChar"/>
    <w:uiPriority w:val="99"/>
    <w:unhideWhenUsed/>
    <w:rsid w:val="00E618BF"/>
    <w:pPr>
      <w:widowControl/>
      <w:spacing w:after="0" w:line="240" w:lineRule="auto"/>
    </w:pPr>
    <w:rPr>
      <w:rFonts w:ascii="Inter" w:hAnsi="Inter" w:eastAsia="Inter" w:cs="Inter"/>
      <w:color w:val="000000"/>
    </w:rPr>
  </w:style>
  <w:style w:type="character" w:customStyle="1" w:styleId="FooterChar">
    <w:name w:val="Footer Char"/>
    <w:basedOn w:val="DefaultParagraphFont"/>
    <w:link w:val="Footer"/>
    <w:uiPriority w:val="99"/>
    <w:rsid w:val="00E618BF"/>
    <w:rPr>
      <w:rFonts w:ascii="Inter" w:hAnsi="Inter" w:eastAsia="Inter" w:cs="Inter"/>
      <w:color w:val="000000"/>
    </w:rPr>
  </w:style>
  <w:style w:type="paragraph" w:styleId="Heading1">
    <w:name w:val="heading 1"/>
    <w:basedOn w:val="Normal"/>
    <w:next w:val="Normal"/>
    <w:link w:val="Heading1Char"/>
    <w:uiPriority w:val="9"/>
    <w:qFormat/>
    <w:rsid w:val="00FC693F"/>
    <w:pPr>
      <w:keepNext/>
      <w:keepLines/>
      <w:widowControl/>
      <w:spacing w:before="0" w:after="240" w:line="252" w:lineRule="auto"/>
      <w:outlineLvl w:val="0"/>
    </w:pPr>
    <w:rPr>
      <w:rFonts w:ascii="Inter" w:hAnsi="Inter" w:eastAsia="Inter" w:cs="Inter"/>
      <w:b/>
      <w:bCs/>
      <w:color w:val="000000"/>
      <w:sz w:val="46"/>
      <w:szCs w:val="28"/>
    </w:rPr>
  </w:style>
  <w:style w:type="paragraph" w:styleId="Heading2">
    <w:name w:val="heading 2"/>
    <w:basedOn w:val="Normal"/>
    <w:next w:val="Normal"/>
    <w:link w:val="Heading2Char"/>
    <w:uiPriority w:val="9"/>
    <w:unhideWhenUsed/>
    <w:qFormat/>
    <w:rsid w:val="00FC693F"/>
    <w:pPr>
      <w:keepNext/>
      <w:keepLines/>
      <w:widowControl/>
      <w:spacing w:before="160" w:after="140" w:line="252" w:lineRule="auto"/>
      <w:outlineLvl w:val="1"/>
    </w:pPr>
    <w:rPr>
      <w:rFonts w:ascii="Inter" w:hAnsi="Inter" w:eastAsia="Inter" w:cs="Inter"/>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160" w:after="120" w:line="252" w:lineRule="auto"/>
      <w:outlineLvl w:val="2"/>
    </w:pPr>
    <w:rPr>
      <w:rFonts w:ascii="Inter" w:hAnsi="Inter" w:eastAsia="Inter" w:cs="Inter"/>
      <w:b/>
      <w:bCs/>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Inter" w:hAnsi="Inter" w:eastAsia="Inter" w:cs="Inter"/>
      <w:b/>
      <w:bCs/>
      <w:i/>
      <w:iCs/>
      <w:color w:val="000000"/>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Inter" w:hAnsi="Inter" w:eastAsia="Inter" w:cs="Inter"/>
      <w:color w:val="000000"/>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Inter" w:hAnsi="Inter" w:eastAsia="Inter" w:cs="Inter"/>
      <w:i/>
      <w:iCs/>
      <w:color w:val="000000"/>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Inter" w:hAnsi="Inter" w:eastAsia="Inter" w:cs="Inter"/>
      <w:i/>
      <w:iCs/>
      <w:color w:val="000000"/>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Inter" w:hAnsi="Inter" w:eastAsia="Inter" w:cs="Inter"/>
      <w:color w:val="000000"/>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Inter" w:hAnsi="Inter" w:eastAsia="Inter" w:cs="Inter"/>
      <w:i/>
      <w:iCs/>
      <w:color w:val="000000"/>
      <w:sz w:val="20"/>
      <w:szCs w:val="20"/>
    </w:rPr>
  </w:style>
  <w:style w:type="character" w:default="1" w:styleId="DefaultParagraphFont">
    <w:name w:val="Default Paragraph Font"/>
    <w:uiPriority w:val="1"/>
    <w:semiHidden/>
    <w:unhideWhenUsed/>
    <w:rPr>
      <w:rFonts w:ascii="Inter" w:hAnsi="Inter" w:eastAsia="Inter" w:cs="Inte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rPr>
      <w:rFonts w:ascii="Inter" w:hAnsi="Inter" w:eastAsia="Inter" w:cs="Inter"/>
      <w:color w:val="000000"/>
    </w:rPr>
  </w:style>
  <w:style w:type="character" w:customStyle="1" w:styleId="Heading1Char">
    <w:name w:val="Heading 1 Char"/>
    <w:basedOn w:val="DefaultParagraphFont"/>
    <w:link w:val="Heading1"/>
    <w:uiPriority w:val="9"/>
    <w:rsid w:val="00FC693F"/>
    <w:rPr>
      <w:rFonts w:ascii="Inter" w:hAnsi="Inter" w:eastAsia="Inter" w:cs="Inter"/>
      <w:b/>
      <w:bCs/>
      <w:color w:val="000000"/>
      <w:sz w:val="28"/>
      <w:szCs w:val="28"/>
    </w:rPr>
  </w:style>
  <w:style w:type="character" w:customStyle="1" w:styleId="Heading2Char">
    <w:name w:val="Heading 2 Char"/>
    <w:basedOn w:val="DefaultParagraphFont"/>
    <w:link w:val="Heading2"/>
    <w:uiPriority w:val="9"/>
    <w:rsid w:val="00FC693F"/>
    <w:rPr>
      <w:rFonts w:ascii="Inter" w:hAnsi="Inter" w:eastAsia="Inter" w:cs="Inter"/>
      <w:b/>
      <w:bCs/>
      <w:color w:val="000000"/>
      <w:sz w:val="26"/>
      <w:szCs w:val="26"/>
    </w:rPr>
  </w:style>
  <w:style w:type="character" w:customStyle="1" w:styleId="Heading3Char">
    <w:name w:val="Heading 3 Char"/>
    <w:basedOn w:val="DefaultParagraphFont"/>
    <w:link w:val="Heading3"/>
    <w:uiPriority w:val="9"/>
    <w:rsid w:val="00FC693F"/>
    <w:rPr>
      <w:rFonts w:ascii="Inter" w:hAnsi="Inter" w:eastAsia="Inter" w:cs="Inter"/>
      <w:b/>
      <w:bCs/>
      <w:color w:val="000000"/>
    </w:rPr>
  </w:style>
  <w:style w:type="paragraph" w:styleId="Title">
    <w:name w:val="Title"/>
    <w:basedOn w:val="Normal"/>
    <w:next w:val="Normal"/>
    <w:link w:val="TitleChar"/>
    <w:uiPriority w:val="10"/>
    <w:qFormat/>
    <w:rsid w:val="00FC693F"/>
    <w:pPr>
      <w:keepNext/>
      <w:widowControl/>
      <w:spacing w:after="240" w:line="252" w:lineRule="auto" w:before="0"/>
      <w:contextualSpacing/>
    </w:pPr>
    <w:rPr>
      <w:rFonts w:ascii="Inter" w:hAnsi="Inter" w:eastAsia="Inter" w:cs="Inter"/>
      <w:b/>
      <w:color w:val="000000"/>
      <w:spacing w:val="5"/>
      <w:kern w:val="28"/>
      <w:sz w:val="58"/>
      <w:szCs w:val="52"/>
    </w:rPr>
  </w:style>
  <w:style w:type="character" w:customStyle="1" w:styleId="TitleChar">
    <w:name w:val="Title Char"/>
    <w:basedOn w:val="DefaultParagraphFont"/>
    <w:link w:val="Title"/>
    <w:uiPriority w:val="10"/>
    <w:rsid w:val="00FC693F"/>
    <w:rPr>
      <w:rFonts w:ascii="Inter" w:hAnsi="Inter" w:eastAsia="Inter" w:cs="Inter"/>
      <w:color w:val="000000"/>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Inter" w:hAnsi="Inter" w:eastAsia="Inter" w:cs="Inter"/>
      <w:i/>
      <w:iCs/>
      <w:color w:val="000000"/>
      <w:spacing w:val="15"/>
      <w:sz w:val="24"/>
      <w:szCs w:val="24"/>
    </w:rPr>
  </w:style>
  <w:style w:type="character" w:customStyle="1" w:styleId="SubtitleChar">
    <w:name w:val="Subtitle Char"/>
    <w:basedOn w:val="DefaultParagraphFont"/>
    <w:link w:val="Subtitle"/>
    <w:uiPriority w:val="11"/>
    <w:rsid w:val="00FC693F"/>
    <w:rPr>
      <w:rFonts w:ascii="Inter" w:hAnsi="Inter" w:eastAsia="Inter" w:cs="Inter"/>
      <w:i/>
      <w:iCs/>
      <w:color w:val="000000"/>
      <w:spacing w:val="15"/>
      <w:sz w:val="24"/>
      <w:szCs w:val="24"/>
    </w:rPr>
  </w:style>
  <w:style w:type="paragraph" w:styleId="ListParagraph">
    <w:name w:val="List Paragraph"/>
    <w:basedOn w:val="Normal"/>
    <w:uiPriority w:val="34"/>
    <w:qFormat/>
    <w:rsid w:val="00FC693F"/>
    <w:pPr>
      <w:widowControl/>
      <w:ind w:left="720"/>
      <w:contextualSpacing/>
    </w:pPr>
    <w:rPr>
      <w:rFonts w:ascii="Inter" w:hAnsi="Inter" w:eastAsia="Inter" w:cs="Inter"/>
      <w:color w:val="000000"/>
    </w:rPr>
  </w:style>
  <w:style w:type="paragraph" w:styleId="BodyText">
    <w:name w:val="Body Text"/>
    <w:basedOn w:val="Normal"/>
    <w:link w:val="BodyTextChar"/>
    <w:uiPriority w:val="99"/>
    <w:unhideWhenUsed/>
    <w:rsid w:val="00AA1D8D"/>
    <w:pPr>
      <w:widowControl/>
      <w:spacing w:after="120"/>
    </w:pPr>
    <w:rPr>
      <w:rFonts w:ascii="Inter" w:hAnsi="Inter" w:eastAsia="Inter" w:cs="Inter"/>
      <w:color w:val="000000"/>
    </w:rPr>
  </w:style>
  <w:style w:type="character" w:customStyle="1" w:styleId="BodyTextChar">
    <w:name w:val="Body Text Char"/>
    <w:basedOn w:val="DefaultParagraphFont"/>
    <w:link w:val="BodyText"/>
    <w:uiPriority w:val="99"/>
    <w:rsid w:val="00AA1D8D"/>
    <w:rPr>
      <w:rFonts w:ascii="Inter" w:hAnsi="Inter" w:eastAsia="Inter" w:cs="Inter"/>
      <w:color w:val="000000"/>
    </w:rPr>
  </w:style>
  <w:style w:type="paragraph" w:styleId="BodyText2">
    <w:name w:val="Body Text 2"/>
    <w:basedOn w:val="Normal"/>
    <w:link w:val="BodyText2Char"/>
    <w:uiPriority w:val="99"/>
    <w:unhideWhenUsed/>
    <w:rsid w:val="00AA1D8D"/>
    <w:pPr>
      <w:widowControl/>
      <w:spacing w:after="120" w:line="480" w:lineRule="auto"/>
    </w:pPr>
    <w:rPr>
      <w:rFonts w:ascii="Inter" w:hAnsi="Inter" w:eastAsia="Inter" w:cs="Inter"/>
      <w:color w:val="000000"/>
    </w:rPr>
  </w:style>
  <w:style w:type="character" w:customStyle="1" w:styleId="BodyText2Char">
    <w:name w:val="Body Text 2 Char"/>
    <w:basedOn w:val="DefaultParagraphFont"/>
    <w:link w:val="BodyText2"/>
    <w:uiPriority w:val="99"/>
    <w:rsid w:val="00AA1D8D"/>
    <w:rPr>
      <w:rFonts w:ascii="Inter" w:hAnsi="Inter" w:eastAsia="Inter" w:cs="Inter"/>
      <w:color w:val="000000"/>
    </w:rPr>
  </w:style>
  <w:style w:type="paragraph" w:styleId="BodyText3">
    <w:name w:val="Body Text 3"/>
    <w:basedOn w:val="Normal"/>
    <w:link w:val="BodyText3Char"/>
    <w:uiPriority w:val="99"/>
    <w:unhideWhenUsed/>
    <w:rsid w:val="00AA1D8D"/>
    <w:pPr>
      <w:widowControl/>
      <w:spacing w:after="120"/>
    </w:pPr>
    <w:rPr>
      <w:rFonts w:ascii="Inter" w:hAnsi="Inter" w:eastAsia="Inter" w:cs="Inter"/>
      <w:color w:val="000000"/>
      <w:sz w:val="16"/>
      <w:szCs w:val="16"/>
    </w:rPr>
  </w:style>
  <w:style w:type="character" w:customStyle="1" w:styleId="BodyText3Char">
    <w:name w:val="Body Text 3 Char"/>
    <w:basedOn w:val="DefaultParagraphFont"/>
    <w:link w:val="BodyText3"/>
    <w:uiPriority w:val="99"/>
    <w:rsid w:val="00AA1D8D"/>
    <w:rPr>
      <w:rFonts w:ascii="Inter" w:hAnsi="Inter" w:eastAsia="Inter" w:cs="Inter"/>
      <w:color w:val="000000"/>
      <w:sz w:val="16"/>
      <w:szCs w:val="16"/>
    </w:rPr>
  </w:style>
  <w:style w:type="paragraph" w:styleId="List">
    <w:name w:val="List"/>
    <w:basedOn w:val="Normal"/>
    <w:uiPriority w:val="99"/>
    <w:unhideWhenUsed/>
    <w:rsid w:val="00AA1D8D"/>
    <w:pPr>
      <w:widowControl/>
      <w:ind w:left="360" w:hanging="360"/>
      <w:contextualSpacing/>
    </w:pPr>
    <w:rPr>
      <w:rFonts w:ascii="Inter" w:hAnsi="Inter" w:eastAsia="Inter" w:cs="Inter"/>
      <w:color w:val="000000"/>
    </w:rPr>
  </w:style>
  <w:style w:type="paragraph" w:styleId="List2">
    <w:name w:val="List 2"/>
    <w:basedOn w:val="Normal"/>
    <w:uiPriority w:val="99"/>
    <w:unhideWhenUsed/>
    <w:rsid w:val="00326F90"/>
    <w:pPr>
      <w:widowControl/>
      <w:ind w:left="720" w:hanging="360"/>
      <w:contextualSpacing/>
    </w:pPr>
    <w:rPr>
      <w:rFonts w:ascii="Inter" w:hAnsi="Inter" w:eastAsia="Inter" w:cs="Inter"/>
      <w:color w:val="000000"/>
    </w:rPr>
  </w:style>
  <w:style w:type="paragraph" w:styleId="List3">
    <w:name w:val="List 3"/>
    <w:basedOn w:val="Normal"/>
    <w:uiPriority w:val="99"/>
    <w:unhideWhenUsed/>
    <w:rsid w:val="00326F90"/>
    <w:pPr>
      <w:widowControl/>
      <w:ind w:left="1080" w:hanging="360"/>
      <w:contextualSpacing/>
    </w:pPr>
    <w:rPr>
      <w:rFonts w:ascii="Inter" w:hAnsi="Inter" w:eastAsia="Inter" w:cs="Inter"/>
      <w:color w:val="000000"/>
    </w:rPr>
  </w:style>
  <w:style w:type="paragraph" w:styleId="ListBullet">
    <w:name w:val="List Bullet"/>
    <w:basedOn w:val="Normal"/>
    <w:uiPriority w:val="99"/>
    <w:unhideWhenUsed/>
    <w:rsid w:val="00326F90"/>
    <w:pPr>
      <w:widowControl/>
      <w:numPr>
        <w:numId w:val="1"/>
      </w:numPr>
      <w:contextualSpacing/>
    </w:pPr>
    <w:rPr>
      <w:rFonts w:ascii="Inter" w:hAnsi="Inter" w:eastAsia="Inter" w:cs="Inter"/>
      <w:color w:val="000000"/>
    </w:rPr>
  </w:style>
  <w:style w:type="paragraph" w:styleId="ListBullet2">
    <w:name w:val="List Bullet 2"/>
    <w:basedOn w:val="Normal"/>
    <w:uiPriority w:val="99"/>
    <w:unhideWhenUsed/>
    <w:rsid w:val="00326F90"/>
    <w:pPr>
      <w:widowControl/>
      <w:numPr>
        <w:numId w:val="2"/>
      </w:numPr>
      <w:contextualSpacing/>
    </w:pPr>
    <w:rPr>
      <w:rFonts w:ascii="Inter" w:hAnsi="Inter" w:eastAsia="Inter" w:cs="Inter"/>
      <w:color w:val="000000"/>
    </w:rPr>
  </w:style>
  <w:style w:type="paragraph" w:styleId="ListBullet3">
    <w:name w:val="List Bullet 3"/>
    <w:basedOn w:val="Normal"/>
    <w:uiPriority w:val="99"/>
    <w:unhideWhenUsed/>
    <w:rsid w:val="00326F90"/>
    <w:pPr>
      <w:widowControl/>
      <w:numPr>
        <w:numId w:val="3"/>
      </w:numPr>
      <w:contextualSpacing/>
    </w:pPr>
    <w:rPr>
      <w:rFonts w:ascii="Inter" w:hAnsi="Inter" w:eastAsia="Inter" w:cs="Inter"/>
      <w:color w:val="000000"/>
    </w:rPr>
  </w:style>
  <w:style w:type="paragraph" w:styleId="ListNumber">
    <w:name w:val="List Number"/>
    <w:basedOn w:val="Normal"/>
    <w:uiPriority w:val="99"/>
    <w:unhideWhenUsed/>
    <w:rsid w:val="00326F90"/>
    <w:pPr>
      <w:widowControl/>
      <w:numPr>
        <w:numId w:val="5"/>
      </w:numPr>
      <w:contextualSpacing/>
    </w:pPr>
    <w:rPr>
      <w:rFonts w:ascii="Inter" w:hAnsi="Inter" w:eastAsia="Inter" w:cs="Inter"/>
      <w:color w:val="000000"/>
    </w:rPr>
  </w:style>
  <w:style w:type="paragraph" w:styleId="ListNumber2">
    <w:name w:val="List Number 2"/>
    <w:basedOn w:val="Normal"/>
    <w:uiPriority w:val="99"/>
    <w:unhideWhenUsed/>
    <w:rsid w:val="0029639D"/>
    <w:pPr>
      <w:widowControl/>
      <w:numPr>
        <w:numId w:val="6"/>
      </w:numPr>
      <w:contextualSpacing/>
    </w:pPr>
    <w:rPr>
      <w:rFonts w:ascii="Inter" w:hAnsi="Inter" w:eastAsia="Inter" w:cs="Inter"/>
      <w:color w:val="000000"/>
    </w:rPr>
  </w:style>
  <w:style w:type="paragraph" w:styleId="ListNumber3">
    <w:name w:val="List Number 3"/>
    <w:basedOn w:val="Normal"/>
    <w:uiPriority w:val="99"/>
    <w:unhideWhenUsed/>
    <w:rsid w:val="0029639D"/>
    <w:pPr>
      <w:widowControl/>
      <w:numPr>
        <w:numId w:val="7"/>
      </w:numPr>
      <w:contextualSpacing/>
    </w:pPr>
    <w:rPr>
      <w:rFonts w:ascii="Inter" w:hAnsi="Inter" w:eastAsia="Inter" w:cs="Inter"/>
      <w:color w:val="000000"/>
    </w:rPr>
  </w:style>
  <w:style w:type="paragraph" w:styleId="ListContinue">
    <w:name w:val="List Continue"/>
    <w:basedOn w:val="Normal"/>
    <w:uiPriority w:val="99"/>
    <w:unhideWhenUsed/>
    <w:rsid w:val="0029639D"/>
    <w:pPr>
      <w:widowControl/>
      <w:spacing w:after="120"/>
      <w:ind w:left="360"/>
      <w:contextualSpacing/>
    </w:pPr>
    <w:rPr>
      <w:rFonts w:ascii="Inter" w:hAnsi="Inter" w:eastAsia="Inter" w:cs="Inter"/>
      <w:color w:val="000000"/>
    </w:rPr>
  </w:style>
  <w:style w:type="paragraph" w:styleId="ListContinue2">
    <w:name w:val="List Continue 2"/>
    <w:basedOn w:val="Normal"/>
    <w:uiPriority w:val="99"/>
    <w:unhideWhenUsed/>
    <w:rsid w:val="0029639D"/>
    <w:pPr>
      <w:widowControl/>
      <w:spacing w:after="120"/>
      <w:ind w:left="720"/>
      <w:contextualSpacing/>
    </w:pPr>
    <w:rPr>
      <w:rFonts w:ascii="Inter" w:hAnsi="Inter" w:eastAsia="Inter" w:cs="Inter"/>
      <w:color w:val="000000"/>
    </w:rPr>
  </w:style>
  <w:style w:type="paragraph" w:styleId="ListContinue3">
    <w:name w:val="List Continue 3"/>
    <w:basedOn w:val="Normal"/>
    <w:uiPriority w:val="99"/>
    <w:unhideWhenUsed/>
    <w:rsid w:val="0029639D"/>
    <w:pPr>
      <w:widowControl/>
      <w:spacing w:after="120"/>
      <w:ind w:left="1080"/>
      <w:contextualSpacing/>
    </w:pPr>
    <w:rPr>
      <w:rFonts w:ascii="Inter" w:hAnsi="Inter" w:eastAsia="Inter" w:cs="Inter"/>
      <w:color w:val="000000"/>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Inter" w:hAnsi="Inter" w:eastAsia="Inter" w:cs="Inter"/>
      <w:color w:val="000000"/>
      <w:sz w:val="20"/>
      <w:szCs w:val="20"/>
    </w:rPr>
  </w:style>
  <w:style w:type="character" w:customStyle="1" w:styleId="MacroTextChar">
    <w:name w:val="Macro Text Char"/>
    <w:basedOn w:val="DefaultParagraphFont"/>
    <w:link w:val="MacroText"/>
    <w:uiPriority w:val="99"/>
    <w:rsid w:val="0029639D"/>
    <w:rPr>
      <w:rFonts w:ascii="Inter" w:hAnsi="Inter" w:eastAsia="Inter" w:cs="Inter"/>
      <w:color w:val="000000"/>
      <w:sz w:val="20"/>
      <w:szCs w:val="20"/>
    </w:rPr>
  </w:style>
  <w:style w:type="paragraph" w:styleId="Quote">
    <w:name w:val="Quote"/>
    <w:basedOn w:val="Normal"/>
    <w:next w:val="Normal"/>
    <w:link w:val="QuoteChar"/>
    <w:uiPriority w:val="29"/>
    <w:qFormat/>
    <w:rsid w:val="00FC693F"/>
    <w:pPr>
      <w:widowControl/>
    </w:pPr>
    <w:rPr>
      <w:rFonts w:ascii="Inter" w:hAnsi="Inter" w:eastAsia="Inter" w:cs="Inter"/>
      <w:i/>
      <w:iCs/>
      <w:color w:val="000000"/>
    </w:rPr>
  </w:style>
  <w:style w:type="character" w:customStyle="1" w:styleId="QuoteChar">
    <w:name w:val="Quote Char"/>
    <w:basedOn w:val="DefaultParagraphFont"/>
    <w:link w:val="Quote"/>
    <w:uiPriority w:val="29"/>
    <w:rsid w:val="00FC693F"/>
    <w:rPr>
      <w:rFonts w:ascii="Inter" w:hAnsi="Inter" w:eastAsia="Inter" w:cs="Inter"/>
      <w:i/>
      <w:iCs/>
      <w:color w:val="000000"/>
    </w:rPr>
  </w:style>
  <w:style w:type="character" w:customStyle="1" w:styleId="Heading4Char">
    <w:name w:val="Heading 4 Char"/>
    <w:basedOn w:val="DefaultParagraphFont"/>
    <w:link w:val="Heading4"/>
    <w:uiPriority w:val="9"/>
    <w:semiHidden/>
    <w:rsid w:val="00FC693F"/>
    <w:rPr>
      <w:rFonts w:ascii="Inter" w:hAnsi="Inter" w:eastAsia="Inter" w:cs="Inter"/>
      <w:b/>
      <w:bCs/>
      <w:i/>
      <w:iCs/>
      <w:color w:val="000000"/>
    </w:rPr>
  </w:style>
  <w:style w:type="character" w:customStyle="1" w:styleId="Heading5Char">
    <w:name w:val="Heading 5 Char"/>
    <w:basedOn w:val="DefaultParagraphFont"/>
    <w:link w:val="Heading5"/>
    <w:uiPriority w:val="9"/>
    <w:semiHidden/>
    <w:rsid w:val="00FC693F"/>
    <w:rPr>
      <w:rFonts w:ascii="Inter" w:hAnsi="Inter" w:eastAsia="Inter" w:cs="Inter"/>
      <w:color w:val="000000"/>
    </w:rPr>
  </w:style>
  <w:style w:type="character" w:customStyle="1" w:styleId="Heading6Char">
    <w:name w:val="Heading 6 Char"/>
    <w:basedOn w:val="DefaultParagraphFont"/>
    <w:link w:val="Heading6"/>
    <w:uiPriority w:val="9"/>
    <w:semiHidden/>
    <w:rsid w:val="00FC693F"/>
    <w:rPr>
      <w:rFonts w:ascii="Inter" w:hAnsi="Inter" w:eastAsia="Inter" w:cs="Inter"/>
      <w:i/>
      <w:iCs/>
      <w:color w:val="000000"/>
    </w:rPr>
  </w:style>
  <w:style w:type="character" w:customStyle="1" w:styleId="Heading7Char">
    <w:name w:val="Heading 7 Char"/>
    <w:basedOn w:val="DefaultParagraphFont"/>
    <w:link w:val="Heading7"/>
    <w:uiPriority w:val="9"/>
    <w:semiHidden/>
    <w:rsid w:val="00FC693F"/>
    <w:rPr>
      <w:rFonts w:ascii="Inter" w:hAnsi="Inter" w:eastAsia="Inter" w:cs="Inter"/>
      <w:i/>
      <w:iCs/>
      <w:color w:val="000000"/>
    </w:rPr>
  </w:style>
  <w:style w:type="character" w:customStyle="1" w:styleId="Heading8Char">
    <w:name w:val="Heading 8 Char"/>
    <w:basedOn w:val="DefaultParagraphFont"/>
    <w:link w:val="Heading8"/>
    <w:uiPriority w:val="9"/>
    <w:semiHidden/>
    <w:rsid w:val="00FC693F"/>
    <w:rPr>
      <w:rFonts w:ascii="Inter" w:hAnsi="Inter" w:eastAsia="Inter" w:cs="Inter"/>
      <w:color w:val="000000"/>
      <w:sz w:val="20"/>
      <w:szCs w:val="20"/>
    </w:rPr>
  </w:style>
  <w:style w:type="character" w:customStyle="1" w:styleId="Heading9Char">
    <w:name w:val="Heading 9 Char"/>
    <w:basedOn w:val="DefaultParagraphFont"/>
    <w:link w:val="Heading9"/>
    <w:uiPriority w:val="9"/>
    <w:semiHidden/>
    <w:rsid w:val="00FC693F"/>
    <w:rPr>
      <w:rFonts w:ascii="Inter" w:hAnsi="Inter" w:eastAsia="Inter" w:cs="Inter"/>
      <w:i/>
      <w:iCs/>
      <w:color w:val="000000"/>
      <w:sz w:val="20"/>
      <w:szCs w:val="20"/>
    </w:rPr>
  </w:style>
  <w:style w:type="paragraph" w:styleId="Caption">
    <w:name w:val="caption"/>
    <w:basedOn w:val="Normal"/>
    <w:next w:val="Normal"/>
    <w:uiPriority w:val="35"/>
    <w:semiHidden/>
    <w:unhideWhenUsed/>
    <w:qFormat/>
    <w:rsid w:val="00FC693F"/>
    <w:pPr>
      <w:widowControl/>
      <w:spacing w:line="240" w:lineRule="auto"/>
    </w:pPr>
    <w:rPr>
      <w:rFonts w:ascii="Inter" w:hAnsi="Inter" w:eastAsia="Inter" w:cs="Inter"/>
      <w:b/>
      <w:bCs/>
      <w:color w:val="000000"/>
      <w:sz w:val="18"/>
      <w:szCs w:val="18"/>
    </w:rPr>
  </w:style>
  <w:style w:type="character" w:styleId="Strong">
    <w:name w:val="Strong"/>
    <w:basedOn w:val="DefaultParagraphFont"/>
    <w:uiPriority w:val="22"/>
    <w:qFormat/>
    <w:rsid w:val="00FC693F"/>
    <w:rPr>
      <w:rFonts w:ascii="Inter" w:hAnsi="Inter" w:eastAsia="Inter" w:cs="Inter"/>
      <w:b/>
      <w:bCs/>
      <w:color w:val="000000"/>
    </w:rPr>
  </w:style>
  <w:style w:type="character" w:styleId="Emphasis">
    <w:name w:val="Emphasis"/>
    <w:basedOn w:val="DefaultParagraphFont"/>
    <w:uiPriority w:val="20"/>
    <w:qFormat/>
    <w:rsid w:val="00FC693F"/>
    <w:rPr>
      <w:rFonts w:ascii="Inter" w:hAnsi="Inter" w:eastAsia="Inter" w:cs="Inter"/>
      <w:i/>
      <w:iCs/>
      <w:color w:val="000000"/>
    </w:rPr>
  </w:style>
  <w:style w:type="paragraph" w:styleId="IntenseQuote">
    <w:name w:val="Intense Quote"/>
    <w:basedOn w:val="Normal"/>
    <w:next w:val="Normal"/>
    <w:link w:val="IntenseQuoteChar"/>
    <w:uiPriority w:val="30"/>
    <w:qFormat/>
    <w:rsid w:val="00FC693F"/>
    <w:pPr>
      <w:widowControl/>
      <w:spacing w:before="200" w:after="280"/>
      <w:ind w:left="936" w:right="936"/>
    </w:pPr>
    <w:rPr>
      <w:rFonts w:ascii="Inter" w:hAnsi="Inter" w:eastAsia="Inter" w:cs="Inter"/>
      <w:b/>
      <w:bCs/>
      <w:i/>
      <w:iCs/>
      <w:color w:val="000000"/>
    </w:rPr>
  </w:style>
  <w:style w:type="character" w:customStyle="1" w:styleId="IntenseQuoteChar">
    <w:name w:val="Intense Quote Char"/>
    <w:basedOn w:val="DefaultParagraphFont"/>
    <w:link w:val="IntenseQuote"/>
    <w:uiPriority w:val="30"/>
    <w:rsid w:val="00FC693F"/>
    <w:rPr>
      <w:rFonts w:ascii="Inter" w:hAnsi="Inter" w:eastAsia="Inter" w:cs="Inter"/>
      <w:b/>
      <w:bCs/>
      <w:i/>
      <w:iCs/>
      <w:color w:val="000000"/>
    </w:rPr>
  </w:style>
  <w:style w:type="character" w:styleId="SubtleEmphasis">
    <w:name w:val="Subtle Emphasis"/>
    <w:basedOn w:val="DefaultParagraphFont"/>
    <w:uiPriority w:val="19"/>
    <w:qFormat/>
    <w:rsid w:val="00FC693F"/>
    <w:rPr>
      <w:rFonts w:ascii="Inter" w:hAnsi="Inter" w:eastAsia="Inter" w:cs="Inter"/>
      <w:i/>
      <w:iCs/>
      <w:color w:val="000000"/>
    </w:rPr>
  </w:style>
  <w:style w:type="character" w:styleId="IntenseEmphasis">
    <w:name w:val="Intense Emphasis"/>
    <w:basedOn w:val="DefaultParagraphFont"/>
    <w:uiPriority w:val="21"/>
    <w:qFormat/>
    <w:rsid w:val="00FC693F"/>
    <w:rPr>
      <w:rFonts w:ascii="Inter" w:hAnsi="Inter" w:eastAsia="Inter" w:cs="Inter"/>
      <w:b/>
      <w:bCs/>
      <w:i/>
      <w:iCs/>
      <w:color w:val="000000"/>
    </w:rPr>
  </w:style>
  <w:style w:type="character" w:styleId="SubtleReference">
    <w:name w:val="Subtle Reference"/>
    <w:basedOn w:val="DefaultParagraphFont"/>
    <w:uiPriority w:val="31"/>
    <w:qFormat/>
    <w:rsid w:val="00FC693F"/>
    <w:rPr>
      <w:rFonts w:ascii="Inter" w:hAnsi="Inter" w:eastAsia="Inter" w:cs="Inter"/>
      <w:smallCaps/>
      <w:color w:val="000000"/>
      <w:u w:val="single"/>
    </w:rPr>
  </w:style>
  <w:style w:type="character" w:styleId="IntenseReference">
    <w:name w:val="Intense Reference"/>
    <w:basedOn w:val="DefaultParagraphFont"/>
    <w:uiPriority w:val="32"/>
    <w:qFormat/>
    <w:rsid w:val="00FC693F"/>
    <w:rPr>
      <w:rFonts w:ascii="Inter" w:hAnsi="Inter" w:eastAsia="Inter" w:cs="Inter"/>
      <w:b/>
      <w:bCs/>
      <w:smallCaps/>
      <w:color w:val="000000"/>
      <w:spacing w:val="5"/>
      <w:u w:val="single"/>
    </w:rPr>
  </w:style>
  <w:style w:type="character" w:styleId="BookTitle">
    <w:name w:val="Book Title"/>
    <w:basedOn w:val="DefaultParagraphFont"/>
    <w:uiPriority w:val="33"/>
    <w:qFormat/>
    <w:rsid w:val="00FC693F"/>
    <w:rPr>
      <w:rFonts w:ascii="Inter" w:hAnsi="Inter" w:eastAsia="Inter" w:cs="Inter"/>
      <w:b/>
      <w:bCs/>
      <w:smallCaps/>
      <w:color w:val="000000"/>
      <w:spacing w:val="5"/>
    </w:rPr>
  </w:style>
  <w:style w:type="paragraph" w:styleId="TOCHeading">
    <w:name w:val="TOC Heading"/>
    <w:basedOn w:val="Heading1"/>
    <w:next w:val="Normal"/>
    <w:uiPriority w:val="39"/>
    <w:semiHidden/>
    <w:unhideWhenUsed/>
    <w:qFormat/>
    <w:rsid w:val="00FC693F"/>
    <w:pPr>
      <w:widowControl/>
      <w:outlineLvl w:val="9"/>
    </w:pPr>
    <w:rPr>
      <w:rFonts w:ascii="Inter" w:hAnsi="Inter" w:eastAsia="Inter" w:cs="Inte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before="0" w:after="300" w:line="300" w:lineRule="auto"/>
    </w:pPr>
    <w:rPr>
      <w:rFonts w:ascii="Inter" w:hAnsi="Inter" w:eastAsia="Inter" w:cs="Inter"/>
      <w:color w:val="18181B"/>
      <w:sz w:val="24"/>
    </w:rPr>
  </w:style>
  <w:style w:type="paragraph" w:customStyle="1" w:styleId="Eyebrow">
    <w:name w:val="Eyebrow"/>
    <w:pPr>
      <w:spacing w:before="0" w:after="160" w:line="264" w:lineRule="auto"/>
    </w:pPr>
    <w:rPr>
      <w:rFonts w:ascii="Inter" w:hAnsi="Inter" w:eastAsia="Inter" w:cs="Inter"/>
      <w:color w:val="18181B"/>
      <w:sz w:val="18"/>
    </w:rPr>
  </w:style>
  <w:style w:type="paragraph" w:customStyle="1" w:styleId="Fieldlabel">
    <w:name w:val="Field label"/>
    <w:pPr>
      <w:keepNext/>
      <w:spacing w:before="140" w:after="0" w:line="264" w:lineRule="auto"/>
    </w:pPr>
    <w:rPr>
      <w:rFonts w:ascii="Inter" w:hAnsi="Inter" w:eastAsia="Inter" w:cs="Inter"/>
      <w:b/>
      <w:color w:val="18181B"/>
      <w:sz w:val="19"/>
    </w:rPr>
  </w:style>
  <w:style w:type="paragraph" w:customStyle="1" w:styleId="Entry">
    <w:name w:val="Entry"/>
    <w:pPr>
      <w:spacing w:before="0" w:after="60" w:line="312" w:lineRule="auto"/>
    </w:pPr>
    <w:rPr>
      <w:rFonts w:ascii="Inter" w:hAnsi="Inter" w:eastAsia="Inter" w:cs="Inter"/>
      <w:color w:val="18181B"/>
      <w:sz w:val="22"/>
    </w:rPr>
  </w:style>
  <w:style w:type="paragraph" w:customStyle="1" w:styleId="Tablecopy">
    <w:name w:val="Table copy"/>
    <w:pPr>
      <w:spacing w:before="0" w:after="40" w:line="269" w:lineRule="auto"/>
    </w:pPr>
    <w:rPr>
      <w:rFonts w:ascii="Inter" w:hAnsi="Inter" w:eastAsia="Inter" w:cs="Inter"/>
      <w:color w:val="18181B"/>
      <w:sz w:val="21"/>
    </w:rPr>
  </w:style>
  <w:style w:type="paragraph" w:customStyle="1" w:styleId="Tablegap">
    <w:name w:val="Table gap"/>
    <w:pPr>
      <w:spacing w:before="0" w:after="60" w:line="240" w:lineRule="auto"/>
    </w:pPr>
    <w:rPr>
      <w:rFonts w:ascii="Inter" w:hAnsi="Inter" w:eastAsia="Inter" w:cs="Inter"/>
      <w:color w:val="18181B"/>
      <w:sz w:val="2"/>
    </w:rPr>
  </w:style>
  <w:style w:type="paragraph" w:customStyle="1" w:styleId="Small">
    <w:name w:val="Small"/>
    <w:pPr>
      <w:spacing w:before="0" w:after="120" w:line="276" w:lineRule="auto"/>
    </w:pPr>
    <w:rPr>
      <w:rFonts w:ascii="Inter" w:hAnsi="Inter" w:eastAsia="Inter" w:cs="Inter"/>
      <w:color w:val="18181B"/>
      <w:sz w:val="18"/>
    </w:rPr>
  </w:style>
  <w:style w:type="paragraph" w:customStyle="1" w:styleId="Checklist">
    <w:name w:val="Checklist"/>
    <w:pPr>
      <w:spacing w:before="0" w:after="100" w:line="276" w:lineRule="auto"/>
    </w:pPr>
    <w:rPr>
      <w:rFonts w:ascii="Inter" w:hAnsi="Inter" w:eastAsia="Inter" w:cs="Inter"/>
      <w:color w:val="18181B"/>
      <w:sz w:val="21"/>
    </w:rPr>
  </w:style>
  <w:style w:type="paragraph" w:customStyle="1" w:styleId="Step">
    <w:name w:val="Step"/>
    <w:pPr>
      <w:keepNext/>
      <w:spacing w:before="120" w:after="80" w:line="278" w:lineRule="auto"/>
    </w:pPr>
    <w:rPr>
      <w:rFonts w:ascii="Inter" w:hAnsi="Inter" w:eastAsia="Inter" w:cs="Inter"/>
      <w:color w:val="18181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Inter1" Type="http://schemas.openxmlformats.org/officeDocument/2006/relationships/font" Target="fonts/Inter-1.odttf"/><Relationship Id="rIdInter2" Type="http://schemas.openxmlformats.org/officeDocument/2006/relationships/font" Target="fonts/Inter-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Requirements Brief</dc:title>
  <dc:subject>Define the behavior, boundaries and evidence a delivery team needs before it commits.</dc:subject>
  <dc:creator>MT BYTES</dc:creator>
  <cp:keywords/>
  <dc:description/>
  <cp:lastModifiedBy>MT BYTES</cp:lastModifiedBy>
  <cp:revision>1</cp:revision>
  <dcterms:created xsi:type="dcterms:W3CDTF">2013-12-23T23:15:00Z</dcterms:created>
  <dcterms:modified xsi:type="dcterms:W3CDTF">2013-12-23T23:15:00Z</dcterms:modified>
  <cp:category/>
</cp:coreProperties>
</file>