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rPr>
          <w:rFonts w:ascii="Inter" w:hAnsi="Inter" w:eastAsia="Inter" w:cs="Inter"/>
          <w:b w:val="0"/>
          <w:color w:val="18181B"/>
        </w:rPr>
        <w:t>SERVICE RESILIENCE</w:t>
      </w:r>
    </w:p>
    <w:p>
      <w:pPr>
        <w:pStyle w:val="Title"/>
      </w:pPr>
      <w:r>
        <w:t>Backup and Recovery Plan</w:t>
      </w:r>
    </w:p>
    <w:p>
      <w:pPr>
        <w:pStyle w:val="Deck"/>
      </w:pPr>
      <w:r>
        <w:rPr>
          <w:rFonts w:ascii="Inter" w:hAnsi="Inter" w:eastAsia="Inter" w:cs="Inter"/>
          <w:b w:val="0"/>
          <w:color w:val="18181B"/>
        </w:rPr>
        <w:t>Protect data, restore a usable service and verify the recovery outcome.</w:t>
      </w:r>
    </w:p>
    <w:p>
      <w:pPr>
        <w:pStyle w:val="Heading2"/>
      </w:pPr>
      <w:r>
        <w:t>Establish the recovery agreement</w:t>
      </w:r>
    </w:p>
    <w:p>
      <w:r>
        <w:rPr>
          <w:rFonts w:ascii="Inter" w:hAnsi="Inter" w:eastAsia="Inter" w:cs="Inter"/>
          <w:b w:val="0"/>
          <w:color w:val="18181B"/>
        </w:rPr>
        <w:t>A recovery plan must survive the failure of the service it protects. Keep an accessible, controlled copy outside the primary environment, together with the contact route, access procedure and dependency records needed to act. Test that the on-call team can retrieve them without normal production access.</w:t>
      </w:r>
    </w:p>
    <w:p>
      <w:r>
        <w:rPr>
          <w:rFonts w:ascii="Inter" w:hAnsi="Inter" w:eastAsia="Inter" w:cs="Inter"/>
          <w:b w:val="0"/>
          <w:color w:val="18181B"/>
        </w:rPr>
        <w:t>Complete this plan for one service or a set of services that must recover together. The business owner defines the minimum useful outcome. Technical owners define the restoration sequence. The incident lead authorizes execution, and the business owner accepts the recovered service.</w:t>
      </w:r>
    </w:p>
    <w:p>
      <w:pPr>
        <w:pStyle w:val="Heading2"/>
      </w:pPr>
      <w:r>
        <w:t>Define the recovery objectives</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448"/>
        <w:gridCol w:w="7488"/>
      </w:tblGrid>
      <w:tr>
        <w:trPr>
          <w:cantSplit/>
          <w:tblHeader/>
        </w:trPr>
        <w:tc>
          <w:tcPr>
            <w:tcW w:type="dxa" w:w="2448"/>
            <w:vAlign w:val="center"/>
            <w:shd w:fill="F4F4F5"/>
          </w:tcPr>
          <w:p>
            <w:pPr>
              <w:pStyle w:val="Tablecopy"/>
            </w:pPr>
            <w:r/>
            <w:r>
              <w:rPr>
                <w:rFonts w:ascii="Inter" w:hAnsi="Inter" w:eastAsia="Inter" w:cs="Inter"/>
                <w:b/>
                <w:color w:val="18181B"/>
                <w:sz w:val="21"/>
              </w:rPr>
              <w:t>Objective</w:t>
            </w:r>
          </w:p>
        </w:tc>
        <w:tc>
          <w:tcPr>
            <w:tcW w:type="dxa" w:w="7488"/>
            <w:vAlign w:val="center"/>
            <w:shd w:fill="F4F4F5"/>
          </w:tcPr>
          <w:p>
            <w:pPr>
              <w:pStyle w:val="Tablecopy"/>
            </w:pPr>
            <w:r/>
            <w:r>
              <w:rPr>
                <w:rFonts w:ascii="Inter" w:hAnsi="Inter" w:eastAsia="Inter" w:cs="Inter"/>
                <w:b/>
                <w:color w:val="18181B"/>
                <w:sz w:val="21"/>
              </w:rPr>
              <w:t>Definition and agreement</w:t>
            </w:r>
          </w:p>
        </w:tc>
      </w:tr>
      <w:tr>
        <w:trPr>
          <w:cantSplit/>
        </w:trPr>
        <w:tc>
          <w:tcPr>
            <w:tcW w:type="dxa" w:w="2448"/>
            <w:vAlign w:val="center"/>
          </w:tcPr>
          <w:p>
            <w:pPr>
              <w:pStyle w:val="Tablecopy"/>
            </w:pPr>
            <w:r/>
            <w:r>
              <w:rPr>
                <w:rFonts w:ascii="Inter" w:hAnsi="Inter" w:eastAsia="Inter" w:cs="Inter"/>
                <w:b w:val="0"/>
                <w:color w:val="18181B"/>
                <w:sz w:val="21"/>
              </w:rPr>
              <w:t>Recovery time objective</w:t>
            </w:r>
          </w:p>
        </w:tc>
        <w:tc>
          <w:tcPr>
            <w:tcW w:type="dxa" w:w="7488"/>
            <w:vAlign w:val="center"/>
          </w:tcPr>
          <w:p>
            <w:pPr>
              <w:pStyle w:val="Tablecopy"/>
            </w:pPr>
            <w:r/>
            <w:r>
              <w:rPr>
                <w:rFonts w:ascii="Inter" w:hAnsi="Inter" w:eastAsia="Inter" w:cs="Inter"/>
                <w:b w:val="0"/>
                <w:color w:val="18181B"/>
                <w:sz w:val="21"/>
              </w:rPr>
              <w:t>Target elapsed time from the agreed disruption start to restoration of the agreed service outcome. Include dependencies, validation and access restoration in the plan.</w:t>
            </w:r>
          </w:p>
        </w:tc>
      </w:tr>
      <w:tr>
        <w:trPr>
          <w:cantSplit/>
        </w:trPr>
        <w:tc>
          <w:tcPr>
            <w:tcW w:type="dxa" w:w="2448"/>
            <w:vAlign w:val="center"/>
          </w:tcPr>
          <w:p>
            <w:pPr>
              <w:pStyle w:val="Tablecopy"/>
            </w:pPr>
            <w:r/>
            <w:r>
              <w:rPr>
                <w:rFonts w:ascii="Inter" w:hAnsi="Inter" w:eastAsia="Inter" w:cs="Inter"/>
                <w:b w:val="0"/>
                <w:color w:val="18181B"/>
                <w:sz w:val="21"/>
              </w:rPr>
              <w:t>Recovery point objective</w:t>
            </w:r>
          </w:p>
        </w:tc>
        <w:tc>
          <w:tcPr>
            <w:tcW w:type="dxa" w:w="7488"/>
            <w:vAlign w:val="center"/>
          </w:tcPr>
          <w:p>
            <w:pPr>
              <w:pStyle w:val="Tablecopy"/>
            </w:pPr>
            <w:r/>
            <w:r>
              <w:rPr>
                <w:rFonts w:ascii="Inter" w:hAnsi="Inter" w:eastAsia="Inter" w:cs="Inter"/>
                <w:b w:val="0"/>
                <w:color w:val="18181B"/>
                <w:sz w:val="21"/>
              </w:rPr>
              <w:t>Target limit on lost data measured in time. Compare the disruption point with the latest usable recovery point; a configured backup frequency alone does not prove the target is met.</w:t>
            </w:r>
          </w:p>
        </w:tc>
      </w:tr>
      <w:tr>
        <w:trPr>
          <w:cantSplit/>
        </w:trPr>
        <w:tc>
          <w:tcPr>
            <w:tcW w:type="dxa" w:w="2448"/>
            <w:vAlign w:val="center"/>
          </w:tcPr>
          <w:p>
            <w:pPr>
              <w:pStyle w:val="Tablecopy"/>
            </w:pPr>
            <w:r/>
            <w:r>
              <w:rPr>
                <w:rFonts w:ascii="Inter" w:hAnsi="Inter" w:eastAsia="Inter" w:cs="Inter"/>
                <w:b w:val="0"/>
                <w:color w:val="18181B"/>
                <w:sz w:val="21"/>
              </w:rPr>
              <w:t>Minimum service</w:t>
            </w:r>
          </w:p>
        </w:tc>
        <w:tc>
          <w:tcPr>
            <w:tcW w:type="dxa" w:w="7488"/>
            <w:vAlign w:val="center"/>
          </w:tcPr>
          <w:p>
            <w:pPr>
              <w:pStyle w:val="Tablecopy"/>
            </w:pPr>
            <w:r/>
            <w:r>
              <w:rPr>
                <w:rFonts w:ascii="Inter" w:hAnsi="Inter" w:eastAsia="Inter" w:cs="Inter"/>
                <w:b w:val="0"/>
                <w:color w:val="18181B"/>
                <w:sz w:val="21"/>
              </w:rPr>
              <w:t>The transactions, data and user groups that must work before recovery can be accepted. Record any reduced capability and its operating limit.</w:t>
            </w:r>
          </w:p>
        </w:tc>
      </w:tr>
    </w:tbl>
    <w:p>
      <w:pPr>
        <w:pStyle w:val="Tablegap"/>
      </w:pPr>
    </w:p>
    <w:p>
      <w:pPr>
        <w:pStyle w:val="Fieldlabel"/>
      </w:pPr>
      <w:r>
        <w:rPr>
          <w:rFonts w:ascii="Inter" w:hAnsi="Inter" w:eastAsia="Inter" w:cs="Inter"/>
          <w:b/>
          <w:color w:val="18181B"/>
        </w:rPr>
        <w:t>Service • business owner • technical recovery owner</w:t>
      </w:r>
    </w:p>
    <w:sdt>
      <w:sdtPr>
        <w:alias w:val="Service • business owner • technical recovery owner"/>
        <w:tag w:val="field-39f9a1866376"/>
        <w:id w:val="46397873"/>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Recovery time / point objectives • units • approved rationale</w:t>
      </w:r>
    </w:p>
    <w:sdt>
      <w:sdtPr>
        <w:alias w:val="Recovery time / point objectives • units • approved rationale"/>
        <w:tag w:val="field-6c4c69bfbfdd"/>
        <w:id w:val="63082860"/>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Minimum accepted service • approving authority</w:t>
      </w:r>
    </w:p>
    <w:sdt>
      <w:sdtPr>
        <w:alias w:val="Minimum accepted service • approving authority"/>
        <w:tag w:val="field-c3ab1684cc59"/>
        <w:id w:val="151623699"/>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Use one time zone in the incident record. Record both business objectives and measured results; a missed objective remains visible after service restoration.</w:t>
      </w:r>
    </w:p>
    <w:p>
      <w:pPr>
        <w:pStyle w:val="Eyebrow"/>
        <w:pageBreakBefore/>
      </w:pPr>
      <w:r>
        <w:rPr>
          <w:rFonts w:ascii="Inter" w:hAnsi="Inter" w:eastAsia="Inter" w:cs="Inter"/>
          <w:b w:val="0"/>
          <w:color w:val="18181B"/>
        </w:rPr>
        <w:t>02 / Protection and recovery</w:t>
      </w:r>
    </w:p>
    <w:p>
      <w:pPr>
        <w:pStyle w:val="Heading1"/>
      </w:pPr>
      <w:r>
        <w:t>Design the protected recovery set</w:t>
      </w:r>
    </w:p>
    <w:p>
      <w:pPr>
        <w:pStyle w:val="Deck"/>
      </w:pPr>
      <w:r>
        <w:rPr>
          <w:rFonts w:ascii="Inter" w:hAnsi="Inter" w:eastAsia="Inter" w:cs="Inter"/>
          <w:b w:val="0"/>
          <w:color w:val="18181B"/>
        </w:rPr>
        <w:t>Protect the data and dependencies needed to reconstruct a trustworthy service.</w:t>
      </w:r>
    </w:p>
    <w:p>
      <w:pPr>
        <w:pStyle w:val="Heading2"/>
      </w:pPr>
      <w:r>
        <w:t>Inventory the recoverable system</w:t>
      </w:r>
    </w:p>
    <w:p>
      <w:r>
        <w:rPr>
          <w:rFonts w:ascii="Inter" w:hAnsi="Inter" w:eastAsia="Inter" w:cs="Inter"/>
          <w:b w:val="0"/>
          <w:color w:val="18181B"/>
        </w:rPr>
        <w:t>Identify application data, files, configuration, infrastructure definitions, deployment artifacts, certificates, necessary keys and external dependencies. Record the recovery route for identity and network services. A data copy without the means to decrypt it or run a compatible application is incomplete.</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736"/>
        <w:gridCol w:w="7200"/>
      </w:tblGrid>
      <w:tr>
        <w:trPr>
          <w:cantSplit/>
          <w:tblHeader/>
        </w:trPr>
        <w:tc>
          <w:tcPr>
            <w:tcW w:type="dxa" w:w="2736"/>
            <w:vAlign w:val="center"/>
            <w:shd w:fill="F4F4F5"/>
          </w:tcPr>
          <w:p>
            <w:pPr>
              <w:pStyle w:val="Tablecopy"/>
            </w:pPr>
            <w:r/>
            <w:r>
              <w:rPr>
                <w:rFonts w:ascii="Inter" w:hAnsi="Inter" w:eastAsia="Inter" w:cs="Inter"/>
                <w:b/>
                <w:color w:val="18181B"/>
                <w:sz w:val="21"/>
              </w:rPr>
              <w:t>Protection decision</w:t>
            </w:r>
          </w:p>
        </w:tc>
        <w:tc>
          <w:tcPr>
            <w:tcW w:type="dxa" w:w="7200"/>
            <w:vAlign w:val="center"/>
            <w:shd w:fill="F4F4F5"/>
          </w:tcPr>
          <w:p>
            <w:pPr>
              <w:pStyle w:val="Tablecopy"/>
            </w:pPr>
            <w:r/>
            <w:r>
              <w:rPr>
                <w:rFonts w:ascii="Inter" w:hAnsi="Inter" w:eastAsia="Inter" w:cs="Inter"/>
                <w:b/>
                <w:color w:val="18181B"/>
                <w:sz w:val="21"/>
              </w:rPr>
              <w:t>Required operating rule</w:t>
            </w:r>
          </w:p>
        </w:tc>
      </w:tr>
      <w:tr>
        <w:trPr>
          <w:cantSplit/>
        </w:trPr>
        <w:tc>
          <w:tcPr>
            <w:tcW w:type="dxa" w:w="2736"/>
            <w:vAlign w:val="center"/>
          </w:tcPr>
          <w:p>
            <w:pPr>
              <w:pStyle w:val="Tablecopy"/>
            </w:pPr>
            <w:r/>
            <w:r>
              <w:rPr>
                <w:rFonts w:ascii="Inter" w:hAnsi="Inter" w:eastAsia="Inter" w:cs="Inter"/>
                <w:b w:val="0"/>
                <w:color w:val="18181B"/>
                <w:sz w:val="21"/>
              </w:rPr>
              <w:t>Copy and location</w:t>
            </w:r>
          </w:p>
        </w:tc>
        <w:tc>
          <w:tcPr>
            <w:tcW w:type="dxa" w:w="7200"/>
            <w:vAlign w:val="center"/>
          </w:tcPr>
          <w:p>
            <w:pPr>
              <w:pStyle w:val="Tablecopy"/>
            </w:pPr>
            <w:r/>
            <w:r>
              <w:rPr>
                <w:rFonts w:ascii="Inter" w:hAnsi="Inter" w:eastAsia="Inter" w:cs="Inter"/>
                <w:b w:val="0"/>
                <w:color w:val="18181B"/>
                <w:sz w:val="21"/>
              </w:rPr>
              <w:t>Name the protected asset, destination and separation from the primary failure domain.</w:t>
            </w:r>
          </w:p>
        </w:tc>
      </w:tr>
      <w:tr>
        <w:trPr>
          <w:cantSplit/>
        </w:trPr>
        <w:tc>
          <w:tcPr>
            <w:tcW w:type="dxa" w:w="2736"/>
            <w:vAlign w:val="center"/>
          </w:tcPr>
          <w:p>
            <w:pPr>
              <w:pStyle w:val="Tablecopy"/>
            </w:pPr>
            <w:r/>
            <w:r>
              <w:rPr>
                <w:rFonts w:ascii="Inter" w:hAnsi="Inter" w:eastAsia="Inter" w:cs="Inter"/>
                <w:b w:val="0"/>
                <w:color w:val="18181B"/>
                <w:sz w:val="21"/>
              </w:rPr>
              <w:t>Schedule and retention</w:t>
            </w:r>
          </w:p>
        </w:tc>
        <w:tc>
          <w:tcPr>
            <w:tcW w:type="dxa" w:w="7200"/>
            <w:vAlign w:val="center"/>
          </w:tcPr>
          <w:p>
            <w:pPr>
              <w:pStyle w:val="Tablecopy"/>
            </w:pPr>
            <w:r/>
            <w:r>
              <w:rPr>
                <w:rFonts w:ascii="Inter" w:hAnsi="Inter" w:eastAsia="Inter" w:cs="Inter"/>
                <w:b w:val="0"/>
                <w:color w:val="18181B"/>
                <w:sz w:val="21"/>
              </w:rPr>
              <w:t>Set frequency, retention and expiry from recovery needs, data obligations and available capacity.</w:t>
            </w:r>
          </w:p>
        </w:tc>
      </w:tr>
      <w:tr>
        <w:trPr>
          <w:cantSplit/>
        </w:trPr>
        <w:tc>
          <w:tcPr>
            <w:tcW w:type="dxa" w:w="2736"/>
            <w:vAlign w:val="center"/>
          </w:tcPr>
          <w:p>
            <w:pPr>
              <w:pStyle w:val="Tablecopy"/>
            </w:pPr>
            <w:r/>
            <w:r>
              <w:rPr>
                <w:rFonts w:ascii="Inter" w:hAnsi="Inter" w:eastAsia="Inter" w:cs="Inter"/>
                <w:b w:val="0"/>
                <w:color w:val="18181B"/>
                <w:sz w:val="21"/>
              </w:rPr>
              <w:t>Access and deletion</w:t>
            </w:r>
          </w:p>
        </w:tc>
        <w:tc>
          <w:tcPr>
            <w:tcW w:type="dxa" w:w="7200"/>
            <w:vAlign w:val="center"/>
          </w:tcPr>
          <w:p>
            <w:pPr>
              <w:pStyle w:val="Tablecopy"/>
            </w:pPr>
            <w:r/>
            <w:r>
              <w:rPr>
                <w:rFonts w:ascii="Inter" w:hAnsi="Inter" w:eastAsia="Inter" w:cs="Inter"/>
                <w:b w:val="0"/>
                <w:color w:val="18181B"/>
                <w:sz w:val="21"/>
              </w:rPr>
              <w:t>Separate backup administration from everyday production access; restrict destructive operations and review privileged access.</w:t>
            </w:r>
          </w:p>
        </w:tc>
      </w:tr>
      <w:tr>
        <w:trPr>
          <w:cantSplit/>
        </w:trPr>
        <w:tc>
          <w:tcPr>
            <w:tcW w:type="dxa" w:w="2736"/>
            <w:vAlign w:val="center"/>
          </w:tcPr>
          <w:p>
            <w:pPr>
              <w:pStyle w:val="Tablecopy"/>
            </w:pPr>
            <w:r/>
            <w:r>
              <w:rPr>
                <w:rFonts w:ascii="Inter" w:hAnsi="Inter" w:eastAsia="Inter" w:cs="Inter"/>
                <w:b w:val="0"/>
                <w:color w:val="18181B"/>
                <w:sz w:val="21"/>
              </w:rPr>
              <w:t>Isolation</w:t>
            </w:r>
          </w:p>
        </w:tc>
        <w:tc>
          <w:tcPr>
            <w:tcW w:type="dxa" w:w="7200"/>
            <w:vAlign w:val="center"/>
          </w:tcPr>
          <w:p>
            <w:pPr>
              <w:pStyle w:val="Tablecopy"/>
            </w:pPr>
            <w:r/>
            <w:r>
              <w:rPr>
                <w:rFonts w:ascii="Inter" w:hAnsi="Inter" w:eastAsia="Inter" w:cs="Inter"/>
                <w:b w:val="0"/>
                <w:color w:val="18181B"/>
                <w:sz w:val="21"/>
              </w:rPr>
              <w:t>Keep a recoverable copy protected from compromise or deletion in the primary environment, using appropriate offline or immutable controls.</w:t>
            </w:r>
          </w:p>
        </w:tc>
      </w:tr>
      <w:tr>
        <w:trPr>
          <w:cantSplit/>
        </w:trPr>
        <w:tc>
          <w:tcPr>
            <w:tcW w:type="dxa" w:w="2736"/>
            <w:vAlign w:val="center"/>
          </w:tcPr>
          <w:p>
            <w:pPr>
              <w:pStyle w:val="Tablecopy"/>
            </w:pPr>
            <w:r/>
            <w:r>
              <w:rPr>
                <w:rFonts w:ascii="Inter" w:hAnsi="Inter" w:eastAsia="Inter" w:cs="Inter"/>
                <w:b w:val="0"/>
                <w:color w:val="18181B"/>
                <w:sz w:val="21"/>
              </w:rPr>
              <w:t>Encryption and keys</w:t>
            </w:r>
          </w:p>
        </w:tc>
        <w:tc>
          <w:tcPr>
            <w:tcW w:type="dxa" w:w="7200"/>
            <w:vAlign w:val="center"/>
          </w:tcPr>
          <w:p>
            <w:pPr>
              <w:pStyle w:val="Tablecopy"/>
            </w:pPr>
            <w:r/>
            <w:r>
              <w:rPr>
                <w:rFonts w:ascii="Inter" w:hAnsi="Inter" w:eastAsia="Inter" w:cs="Inter"/>
                <w:b w:val="0"/>
                <w:color w:val="18181B"/>
                <w:sz w:val="21"/>
              </w:rPr>
              <w:t>Protect data in transit and at rest; maintain a tested, authorized way to recover necessary keys.</w:t>
            </w:r>
          </w:p>
        </w:tc>
      </w:tr>
      <w:tr>
        <w:trPr>
          <w:cantSplit/>
        </w:trPr>
        <w:tc>
          <w:tcPr>
            <w:tcW w:type="dxa" w:w="2736"/>
            <w:vAlign w:val="center"/>
          </w:tcPr>
          <w:p>
            <w:pPr>
              <w:pStyle w:val="Tablecopy"/>
            </w:pPr>
            <w:r/>
            <w:r>
              <w:rPr>
                <w:rFonts w:ascii="Inter" w:hAnsi="Inter" w:eastAsia="Inter" w:cs="Inter"/>
                <w:b w:val="0"/>
                <w:color w:val="18181B"/>
                <w:sz w:val="21"/>
              </w:rPr>
              <w:t>Monitoring</w:t>
            </w:r>
          </w:p>
        </w:tc>
        <w:tc>
          <w:tcPr>
            <w:tcW w:type="dxa" w:w="7200"/>
            <w:vAlign w:val="center"/>
          </w:tcPr>
          <w:p>
            <w:pPr>
              <w:pStyle w:val="Tablecopy"/>
            </w:pPr>
            <w:r/>
            <w:r>
              <w:rPr>
                <w:rFonts w:ascii="Inter" w:hAnsi="Inter" w:eastAsia="Inter" w:cs="Inter"/>
                <w:b w:val="0"/>
                <w:color w:val="18181B"/>
                <w:sz w:val="21"/>
              </w:rPr>
              <w:t>Alert on failed, incomplete or overdue protection jobs and failed integrity checks. Assign investigation ownership.</w:t>
            </w:r>
          </w:p>
        </w:tc>
      </w:tr>
    </w:tbl>
    <w:p>
      <w:pPr>
        <w:pStyle w:val="Tablegap"/>
      </w:pPr>
    </w:p>
    <w:p>
      <w:pPr>
        <w:pStyle w:val="Heading2"/>
      </w:pPr>
      <w:r>
        <w:t>Check dependencies between recovery points</w:t>
      </w:r>
    </w:p>
    <w:p>
      <w:r>
        <w:rPr>
          <w:rFonts w:ascii="Inter" w:hAnsi="Inter" w:eastAsia="Inter" w:cs="Inter"/>
          <w:b w:val="0"/>
          <w:color w:val="18181B"/>
        </w:rPr>
        <w:t>Related systems may need consistent states. Decide whether their backups can be restored independently, whether point-in-time replay is available and how cross-system transactions will be reconciled. Document retained log coverage and any break in the recovery chain.</w:t>
      </w:r>
    </w:p>
    <w:p>
      <w:pPr>
        <w:pStyle w:val="Fieldlabel"/>
      </w:pPr>
      <w:r>
        <w:rPr>
          <w:rFonts w:ascii="Inter" w:hAnsi="Inter" w:eastAsia="Inter" w:cs="Inter"/>
          <w:b/>
          <w:color w:val="18181B"/>
        </w:rPr>
        <w:t>Protected recovery set • inventory location • owner</w:t>
      </w:r>
    </w:p>
    <w:sdt>
      <w:sdtPr>
        <w:alias w:val="Protected recovery set • inventory location • owner"/>
        <w:tag w:val="field-336686b427e6"/>
        <w:id w:val="7418480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Compatibility and monitoring exceptions • accountable owner</w:t>
      </w:r>
    </w:p>
    <w:sdt>
      <w:sdtPr>
        <w:alias w:val="Compatibility and monitoring exceptions • accountable owner"/>
        <w:tag w:val="field-7627cee32bea"/>
        <w:id w:val="94550009"/>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Replication can copy corruption or unwanted changes. Establish recoverable history and a tested restoration process in addition to any availability design.</w:t>
      </w:r>
    </w:p>
    <w:p>
      <w:pPr>
        <w:pStyle w:val="Eyebrow"/>
        <w:pageBreakBefore/>
      </w:pPr>
      <w:r>
        <w:rPr>
          <w:rFonts w:ascii="Inter" w:hAnsi="Inter" w:eastAsia="Inter" w:cs="Inter"/>
          <w:b w:val="0"/>
          <w:color w:val="18181B"/>
        </w:rPr>
        <w:t>03 / Protection and recovery</w:t>
      </w:r>
    </w:p>
    <w:p>
      <w:pPr>
        <w:pStyle w:val="Heading1"/>
      </w:pPr>
      <w:r>
        <w:t>Activate recovery under incident control</w:t>
      </w:r>
    </w:p>
    <w:p>
      <w:pPr>
        <w:pStyle w:val="Deck"/>
      </w:pPr>
      <w:r>
        <w:rPr>
          <w:rFonts w:ascii="Inter" w:hAnsi="Inter" w:eastAsia="Inter" w:cs="Inter"/>
          <w:b w:val="0"/>
          <w:color w:val="18181B"/>
        </w:rPr>
        <w:t>Stabilize the incident and choose a recovery route before changing the environment.</w:t>
      </w:r>
    </w:p>
    <w:p>
      <w:pPr>
        <w:pStyle w:val="Step"/>
      </w:pPr>
      <w:r>
        <w:rPr>
          <w:rFonts w:ascii="Inter" w:hAnsi="Inter" w:eastAsia="Inter" w:cs="Inter"/>
          <w:b/>
          <w:color w:val="18181B"/>
        </w:rPr>
        <w:t>1. Confirm impact and declare the incident</w:t>
      </w:r>
    </w:p>
    <w:p>
      <w:r>
        <w:rPr>
          <w:rFonts w:ascii="Inter" w:hAnsi="Inter" w:eastAsia="Inter" w:cs="Inter"/>
          <w:b w:val="0"/>
          <w:color w:val="18181B"/>
        </w:rPr>
        <w:t>Record the first known disruption time, affected service, user impact and current data risk. Name the incident lead and assign a recorder. Keep a single decision log and an agreed communication channel that remains available during the outage.</w:t>
      </w:r>
    </w:p>
    <w:p>
      <w:pPr>
        <w:pStyle w:val="Step"/>
      </w:pPr>
      <w:r>
        <w:rPr>
          <w:rFonts w:ascii="Inter" w:hAnsi="Inter" w:eastAsia="Inter" w:cs="Inter"/>
          <w:b/>
          <w:color w:val="18181B"/>
        </w:rPr>
        <w:t>2. Contain ongoing damage</w:t>
      </w:r>
    </w:p>
    <w:p>
      <w:r>
        <w:rPr>
          <w:rFonts w:ascii="Inter" w:hAnsi="Inter" w:eastAsia="Inter" w:cs="Inter"/>
          <w:b w:val="0"/>
          <w:color w:val="18181B"/>
        </w:rPr>
        <w:t>Where compromise or corruption is suspected, coordinate containment and evidence preservation with the security lead. Stop uncontrolled writes or replication when authorized. Preserve affected systems and logs needed for investigation; avoid reconnecting a recovered service to an untrusted dependency.</w:t>
      </w:r>
    </w:p>
    <w:p>
      <w:pPr>
        <w:pStyle w:val="Step"/>
      </w:pPr>
      <w:r>
        <w:rPr>
          <w:rFonts w:ascii="Inter" w:hAnsi="Inter" w:eastAsia="Inter" w:cs="Inter"/>
          <w:b/>
          <w:color w:val="18181B"/>
        </w:rPr>
        <w:t>3. Select the recovery strategy</w:t>
      </w:r>
    </w:p>
    <w:p>
      <w:r>
        <w:rPr>
          <w:rFonts w:ascii="Inter" w:hAnsi="Inter" w:eastAsia="Inter" w:cs="Inter"/>
          <w:b w:val="0"/>
          <w:color w:val="18181B"/>
        </w:rPr>
        <w:t>Compare repair, failover and restore against the incident conditions. Establish which source and destination can be trusted, what data may be lost and which dependencies must be recovered first. Record why the selected route is preferable and who authorized it.</w:t>
      </w:r>
    </w:p>
    <w:p>
      <w:pPr>
        <w:pStyle w:val="Step"/>
      </w:pPr>
      <w:r>
        <w:rPr>
          <w:rFonts w:ascii="Inter" w:hAnsi="Inter" w:eastAsia="Inter" w:cs="Inter"/>
          <w:b/>
          <w:color w:val="18181B"/>
        </w:rPr>
        <w:t>4. Confirm prerequisites</w:t>
      </w:r>
    </w:p>
    <w:p>
      <w:r>
        <w:rPr>
          <w:rFonts w:ascii="Inter" w:hAnsi="Inter" w:eastAsia="Inter" w:cs="Inter"/>
          <w:b w:val="0"/>
          <w:color w:val="18181B"/>
        </w:rPr>
        <w:t>Check that the team can access the recovery environment, artifacts, keys, credentials, licenses and required capacity. Confirm that the procedure matches the application and data versions being recovered. Assign a substitute if a necessary operator is unavailable.</w:t>
      </w:r>
    </w:p>
    <w:p>
      <w:pPr>
        <w:pStyle w:val="Heading2"/>
      </w:pPr>
      <w:r>
        <w:t>Activation record</w:t>
      </w:r>
    </w:p>
    <w:p>
      <w:pPr>
        <w:pStyle w:val="Fieldlabel"/>
      </w:pPr>
      <w:r>
        <w:rPr>
          <w:rFonts w:ascii="Inter" w:hAnsi="Inter" w:eastAsia="Inter" w:cs="Inter"/>
          <w:b/>
          <w:color w:val="18181B"/>
        </w:rPr>
        <w:t>Incident identifier • disruption time / zone • incident lead</w:t>
      </w:r>
    </w:p>
    <w:sdt>
      <w:sdtPr>
        <w:alias w:val="Incident identifier • disruption time / zone • incident lead"/>
        <w:tag w:val="field-122acf7c1714"/>
        <w:id w:val="39808590"/>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Selected route • known data exposure • authorization time</w:t>
      </w:r>
    </w:p>
    <w:sdt>
      <w:sdtPr>
        <w:alias w:val="Selected route • known data exposure • authorization time"/>
        <w:tag w:val="field-a96cb97d9744"/>
        <w:id w:val="243292039"/>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Recovery point candidate • reason selected • verification owner</w:t>
      </w:r>
    </w:p>
    <w:sdt>
      <w:sdtPr>
        <w:alias w:val="Recovery point candidate • reason selected • verification owner"/>
        <w:tag w:val="field-013ce73775f4"/>
        <w:id w:val="24705288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Next status update • communication owner</w:t>
      </w:r>
    </w:p>
    <w:sdt>
      <w:sdtPr>
        <w:alias w:val="Next status update • communication owner"/>
        <w:tag w:val="field-42c7b855f5d6"/>
        <w:id w:val="259707849"/>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Do not promise restoration from the nominal backup schedule. Communicate the current estimate, its dependencies and the next evidence that will change it.</w:t>
      </w:r>
    </w:p>
    <w:p>
      <w:pPr>
        <w:pStyle w:val="Eyebrow"/>
        <w:pageBreakBefore/>
      </w:pPr>
      <w:r>
        <w:rPr>
          <w:rFonts w:ascii="Inter" w:hAnsi="Inter" w:eastAsia="Inter" w:cs="Inter"/>
          <w:b w:val="0"/>
          <w:color w:val="18181B"/>
        </w:rPr>
        <w:t>04 / Protection and recovery</w:t>
      </w:r>
    </w:p>
    <w:p>
      <w:pPr>
        <w:pStyle w:val="Heading1"/>
      </w:pPr>
      <w:r>
        <w:t>Execute the restoration sequence</w:t>
      </w:r>
    </w:p>
    <w:p>
      <w:pPr>
        <w:pStyle w:val="Deck"/>
      </w:pPr>
      <w:r>
        <w:rPr>
          <w:rFonts w:ascii="Inter" w:hAnsi="Inter" w:eastAsia="Inter" w:cs="Inter"/>
          <w:b w:val="0"/>
          <w:color w:val="18181B"/>
        </w:rPr>
        <w:t>Use controlled steps with a clear result, verification and stop condition.</w:t>
      </w:r>
    </w:p>
    <w:p>
      <w:pPr>
        <w:pStyle w:val="Heading2"/>
      </w:pPr>
      <w:r>
        <w:t>Establish a trusted destination</w:t>
      </w:r>
    </w:p>
    <w:p>
      <w:r>
        <w:rPr>
          <w:rFonts w:ascii="Inter" w:hAnsi="Inter" w:eastAsia="Inter" w:cs="Inter"/>
          <w:b w:val="0"/>
          <w:color w:val="18181B"/>
        </w:rPr>
        <w:t>Prepare the recovery environment with approved configuration and access controls. Keep it isolated until the recovery lead permits connection. Confirm storage capacity, network dependencies, time synchronization and the compatibility of the application, database and recovery artifacts.</w:t>
      </w:r>
    </w:p>
    <w:p>
      <w:pPr>
        <w:pStyle w:val="Heading2"/>
      </w:pPr>
      <w:r>
        <w:t>Recover in dependency order</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160"/>
        <w:gridCol w:w="7776"/>
      </w:tblGrid>
      <w:tr>
        <w:trPr>
          <w:cantSplit/>
          <w:tblHeader/>
        </w:trPr>
        <w:tc>
          <w:tcPr>
            <w:tcW w:type="dxa" w:w="2160"/>
            <w:vAlign w:val="center"/>
            <w:shd w:fill="F4F4F5"/>
          </w:tcPr>
          <w:p>
            <w:pPr>
              <w:pStyle w:val="Tablecopy"/>
            </w:pPr>
            <w:r/>
            <w:r>
              <w:rPr>
                <w:rFonts w:ascii="Inter" w:hAnsi="Inter" w:eastAsia="Inter" w:cs="Inter"/>
                <w:b/>
                <w:color w:val="18181B"/>
                <w:sz w:val="21"/>
              </w:rPr>
              <w:t>Stage</w:t>
            </w:r>
          </w:p>
        </w:tc>
        <w:tc>
          <w:tcPr>
            <w:tcW w:type="dxa" w:w="7776"/>
            <w:vAlign w:val="center"/>
            <w:shd w:fill="F4F4F5"/>
          </w:tcPr>
          <w:p>
            <w:pPr>
              <w:pStyle w:val="Tablecopy"/>
            </w:pPr>
            <w:r/>
            <w:r>
              <w:rPr>
                <w:rFonts w:ascii="Inter" w:hAnsi="Inter" w:eastAsia="Inter" w:cs="Inter"/>
                <w:b/>
                <w:color w:val="18181B"/>
                <w:sz w:val="21"/>
              </w:rPr>
              <w:t>Operator action and required evidence</w:t>
            </w:r>
          </w:p>
        </w:tc>
      </w:tr>
      <w:tr>
        <w:trPr>
          <w:cantSplit/>
        </w:trPr>
        <w:tc>
          <w:tcPr>
            <w:tcW w:type="dxa" w:w="2160"/>
            <w:vAlign w:val="center"/>
          </w:tcPr>
          <w:p>
            <w:pPr>
              <w:pStyle w:val="Tablecopy"/>
            </w:pPr>
            <w:r/>
            <w:r>
              <w:rPr>
                <w:rFonts w:ascii="Inter" w:hAnsi="Inter" w:eastAsia="Inter" w:cs="Inter"/>
                <w:b w:val="0"/>
                <w:color w:val="18181B"/>
                <w:sz w:val="21"/>
              </w:rPr>
              <w:t>Prepare</w:t>
            </w:r>
          </w:p>
        </w:tc>
        <w:tc>
          <w:tcPr>
            <w:tcW w:type="dxa" w:w="7776"/>
            <w:vAlign w:val="center"/>
          </w:tcPr>
          <w:p>
            <w:pPr>
              <w:pStyle w:val="Tablecopy"/>
            </w:pPr>
            <w:r/>
            <w:r>
              <w:rPr>
                <w:rFonts w:ascii="Inter" w:hAnsi="Inter" w:eastAsia="Inter" w:cs="Inter"/>
                <w:b w:val="0"/>
                <w:color w:val="18181B"/>
                <w:sz w:val="21"/>
              </w:rPr>
              <w:t>Record environment identity, approved configuration and prerequisite checks. Confirm production cannot receive conflicting writes.</w:t>
            </w:r>
          </w:p>
        </w:tc>
      </w:tr>
      <w:tr>
        <w:trPr>
          <w:cantSplit/>
        </w:trPr>
        <w:tc>
          <w:tcPr>
            <w:tcW w:type="dxa" w:w="2160"/>
            <w:vAlign w:val="center"/>
          </w:tcPr>
          <w:p>
            <w:pPr>
              <w:pStyle w:val="Tablecopy"/>
            </w:pPr>
            <w:r/>
            <w:r>
              <w:rPr>
                <w:rFonts w:ascii="Inter" w:hAnsi="Inter" w:eastAsia="Inter" w:cs="Inter"/>
                <w:b w:val="0"/>
                <w:color w:val="18181B"/>
                <w:sz w:val="21"/>
              </w:rPr>
              <w:t>Restore</w:t>
            </w:r>
          </w:p>
        </w:tc>
        <w:tc>
          <w:tcPr>
            <w:tcW w:type="dxa" w:w="7776"/>
            <w:vAlign w:val="center"/>
          </w:tcPr>
          <w:p>
            <w:pPr>
              <w:pStyle w:val="Tablecopy"/>
            </w:pPr>
            <w:r/>
            <w:r>
              <w:rPr>
                <w:rFonts w:ascii="Inter" w:hAnsi="Inter" w:eastAsia="Inter" w:cs="Inter"/>
                <w:b w:val="0"/>
                <w:color w:val="18181B"/>
                <w:sz w:val="21"/>
              </w:rPr>
              <w:t>Record the selected recovery point, artifact identifiers and completed restore operations. Investigate integrity or decryption failures before proceeding.</w:t>
            </w:r>
          </w:p>
        </w:tc>
      </w:tr>
      <w:tr>
        <w:trPr>
          <w:cantSplit/>
        </w:trPr>
        <w:tc>
          <w:tcPr>
            <w:tcW w:type="dxa" w:w="2160"/>
            <w:vAlign w:val="center"/>
          </w:tcPr>
          <w:p>
            <w:pPr>
              <w:pStyle w:val="Tablecopy"/>
            </w:pPr>
            <w:r/>
            <w:r>
              <w:rPr>
                <w:rFonts w:ascii="Inter" w:hAnsi="Inter" w:eastAsia="Inter" w:cs="Inter"/>
                <w:b w:val="0"/>
                <w:color w:val="18181B"/>
                <w:sz w:val="21"/>
              </w:rPr>
              <w:t>Reconcile</w:t>
            </w:r>
          </w:p>
        </w:tc>
        <w:tc>
          <w:tcPr>
            <w:tcW w:type="dxa" w:w="7776"/>
            <w:vAlign w:val="center"/>
          </w:tcPr>
          <w:p>
            <w:pPr>
              <w:pStyle w:val="Tablecopy"/>
            </w:pPr>
            <w:r/>
            <w:r>
              <w:rPr>
                <w:rFonts w:ascii="Inter" w:hAnsi="Inter" w:eastAsia="Inter" w:cs="Inter"/>
                <w:b w:val="0"/>
                <w:color w:val="18181B"/>
                <w:sz w:val="21"/>
              </w:rPr>
              <w:t>Replay supported logs or transactions under the approved procedure. Identify gaps, duplicates and uncertain transactions requiring business review.</w:t>
            </w:r>
          </w:p>
        </w:tc>
      </w:tr>
      <w:tr>
        <w:trPr>
          <w:cantSplit/>
        </w:trPr>
        <w:tc>
          <w:tcPr>
            <w:tcW w:type="dxa" w:w="2160"/>
            <w:vAlign w:val="center"/>
          </w:tcPr>
          <w:p>
            <w:pPr>
              <w:pStyle w:val="Tablecopy"/>
            </w:pPr>
            <w:r/>
            <w:r>
              <w:rPr>
                <w:rFonts w:ascii="Inter" w:hAnsi="Inter" w:eastAsia="Inter" w:cs="Inter"/>
                <w:b w:val="0"/>
                <w:color w:val="18181B"/>
                <w:sz w:val="21"/>
              </w:rPr>
              <w:t>Validate</w:t>
            </w:r>
          </w:p>
        </w:tc>
        <w:tc>
          <w:tcPr>
            <w:tcW w:type="dxa" w:w="7776"/>
            <w:vAlign w:val="center"/>
          </w:tcPr>
          <w:p>
            <w:pPr>
              <w:pStyle w:val="Tablecopy"/>
            </w:pPr>
            <w:r/>
            <w:r>
              <w:rPr>
                <w:rFonts w:ascii="Inter" w:hAnsi="Inter" w:eastAsia="Inter" w:cs="Inter"/>
                <w:b w:val="0"/>
                <w:color w:val="18181B"/>
                <w:sz w:val="21"/>
              </w:rPr>
              <w:t>Verify data integrity, identity, permissions and representative business operations before reopening access.</w:t>
            </w:r>
          </w:p>
        </w:tc>
      </w:tr>
      <w:tr>
        <w:trPr>
          <w:cantSplit/>
        </w:trPr>
        <w:tc>
          <w:tcPr>
            <w:tcW w:type="dxa" w:w="2160"/>
            <w:vAlign w:val="center"/>
          </w:tcPr>
          <w:p>
            <w:pPr>
              <w:pStyle w:val="Tablecopy"/>
            </w:pPr>
            <w:r/>
            <w:r>
              <w:rPr>
                <w:rFonts w:ascii="Inter" w:hAnsi="Inter" w:eastAsia="Inter" w:cs="Inter"/>
                <w:b w:val="0"/>
                <w:color w:val="18181B"/>
                <w:sz w:val="21"/>
              </w:rPr>
              <w:t>Reconnect</w:t>
            </w:r>
          </w:p>
        </w:tc>
        <w:tc>
          <w:tcPr>
            <w:tcW w:type="dxa" w:w="7776"/>
            <w:vAlign w:val="center"/>
          </w:tcPr>
          <w:p>
            <w:pPr>
              <w:pStyle w:val="Tablecopy"/>
            </w:pPr>
            <w:r/>
            <w:r>
              <w:rPr>
                <w:rFonts w:ascii="Inter" w:hAnsi="Inter" w:eastAsia="Inter" w:cs="Inter"/>
                <w:b w:val="0"/>
                <w:color w:val="18181B"/>
                <w:sz w:val="21"/>
              </w:rPr>
              <w:t>Restore dependencies and user access in a controlled order. Watch for queues, repeated transactions and stale integrations.</w:t>
            </w:r>
          </w:p>
        </w:tc>
      </w:tr>
    </w:tbl>
    <w:p>
      <w:pPr>
        <w:pStyle w:val="Tablegap"/>
      </w:pPr>
    </w:p>
    <w:p>
      <w:pPr>
        <w:pStyle w:val="Heading2"/>
      </w:pPr>
      <w:r>
        <w:t>Record the executable procedure</w:t>
      </w:r>
    </w:p>
    <w:p>
      <w:r>
        <w:rPr>
          <w:rFonts w:ascii="Inter" w:hAnsi="Inter" w:eastAsia="Inter" w:cs="Inter"/>
          <w:b w:val="0"/>
          <w:color w:val="18181B"/>
        </w:rPr>
        <w:t>Maintain the environment-specific commands or console steps in the controlled runbook location below. Each step needs an authorized role, prerequisites, expected result and a safe response if it fails. Reference credentials through the approved access mechanism; never record secret values in this plan.</w:t>
      </w:r>
    </w:p>
    <w:p>
      <w:pPr>
        <w:pStyle w:val="Fieldlabel"/>
      </w:pPr>
      <w:r>
        <w:rPr>
          <w:rFonts w:ascii="Inter" w:hAnsi="Inter" w:eastAsia="Inter" w:cs="Inter"/>
          <w:b/>
          <w:color w:val="18181B"/>
        </w:rPr>
        <w:t>Controlled procedure location • version • responsible owner</w:t>
      </w:r>
    </w:p>
    <w:sdt>
      <w:sdtPr>
        <w:alias w:val="Controlled procedure location • version • responsible owner"/>
        <w:tag w:val="field-a03517b6a335"/>
        <w:id w:val="5374751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Step requiring approval • approver • stop condition</w:t>
      </w:r>
    </w:p>
    <w:sdt>
      <w:sdtPr>
        <w:alias w:val="Step requiring approval • approver • stop condition"/>
        <w:tag w:val="field-a3590affb9f3"/>
        <w:id w:val="83220609"/>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Completed recovery point • actual start / finish times</w:t>
      </w:r>
    </w:p>
    <w:sdt>
      <w:sdtPr>
        <w:alias w:val="Completed recovery point • actual start / finish times"/>
        <w:tag w:val="field-dec26fcad5a1"/>
        <w:id w:val="38997864"/>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If a step fails unexpectedly, pause dependent actions and record the observed state. Repeatedly retrying a destructive or non-idempotent action can create a second incident.</w:t>
      </w:r>
    </w:p>
    <w:p>
      <w:pPr>
        <w:pStyle w:val="Eyebrow"/>
        <w:pageBreakBefore/>
      </w:pPr>
      <w:r>
        <w:rPr>
          <w:rFonts w:ascii="Inter" w:hAnsi="Inter" w:eastAsia="Inter" w:cs="Inter"/>
          <w:b w:val="0"/>
          <w:color w:val="18181B"/>
        </w:rPr>
        <w:t>05 / Protection and recovery</w:t>
      </w:r>
    </w:p>
    <w:p>
      <w:pPr>
        <w:pStyle w:val="Heading1"/>
      </w:pPr>
      <w:r>
        <w:t>Validate service and authorize return</w:t>
      </w:r>
    </w:p>
    <w:p>
      <w:pPr>
        <w:pStyle w:val="Deck"/>
      </w:pPr>
      <w:r>
        <w:rPr>
          <w:rFonts w:ascii="Inter" w:hAnsi="Inter" w:eastAsia="Inter" w:cs="Inter"/>
          <w:b w:val="0"/>
          <w:color w:val="18181B"/>
        </w:rPr>
        <w:t>Technical restoration and business acceptance are separate checks.</w:t>
      </w:r>
    </w:p>
    <w:p>
      <w:pPr>
        <w:pStyle w:val="Heading2"/>
      </w:pPr>
      <w:r>
        <w:t>Prove that the result is usable</w:t>
      </w:r>
    </w:p>
    <w:p>
      <w:pPr>
        <w:pStyle w:val="Checklist"/>
        <w:ind w:left="173" w:hanging="173"/>
      </w:pPr>
      <w:r>
        <w:rPr>
          <w:rFonts w:ascii="Inter" w:hAnsi="Inter" w:eastAsia="Inter" w:cs="Inter"/>
          <w:b w:val="0"/>
          <w:color w:val="18181B"/>
        </w:rPr>
        <w:t>□  Recovered data opens successfully and passes the agreed integrity and consistency checks.</w:t>
      </w:r>
    </w:p>
    <w:p>
      <w:pPr>
        <w:pStyle w:val="Checklist"/>
        <w:ind w:left="173" w:hanging="173"/>
      </w:pPr>
      <w:r>
        <w:rPr>
          <w:rFonts w:ascii="Inter" w:hAnsi="Inter" w:eastAsia="Inter" w:cs="Inter"/>
          <w:b w:val="0"/>
          <w:color w:val="18181B"/>
        </w:rPr>
        <w:t>□  Application and data versions are compatible; required configuration and secrets are available through approved routes.</w:t>
      </w:r>
    </w:p>
    <w:p>
      <w:pPr>
        <w:pStyle w:val="Checklist"/>
        <w:ind w:left="173" w:hanging="173"/>
      </w:pPr>
      <w:r>
        <w:rPr>
          <w:rFonts w:ascii="Inter" w:hAnsi="Inter" w:eastAsia="Inter" w:cs="Inter"/>
          <w:b w:val="0"/>
          <w:color w:val="18181B"/>
        </w:rPr>
        <w:t>□  Representative users can sign in with the correct permissions; privileged and revoked access behave as intended.</w:t>
      </w:r>
    </w:p>
    <w:p>
      <w:pPr>
        <w:pStyle w:val="Checklist"/>
        <w:ind w:left="173" w:hanging="173"/>
      </w:pPr>
      <w:r>
        <w:rPr>
          <w:rFonts w:ascii="Inter" w:hAnsi="Inter" w:eastAsia="Inter" w:cs="Inter"/>
          <w:b w:val="0"/>
          <w:color w:val="18181B"/>
        </w:rPr>
        <w:t>□  Critical business transactions complete and produce the expected durable state.</w:t>
      </w:r>
    </w:p>
    <w:p>
      <w:pPr>
        <w:pStyle w:val="Checklist"/>
        <w:ind w:left="173" w:hanging="173"/>
      </w:pPr>
      <w:r>
        <w:rPr>
          <w:rFonts w:ascii="Inter" w:hAnsi="Inter" w:eastAsia="Inter" w:cs="Inter"/>
          <w:b w:val="0"/>
          <w:color w:val="18181B"/>
        </w:rPr>
        <w:t>□  Integrations, queues, scheduled work and notifications behave correctly without duplicate processing.</w:t>
      </w:r>
    </w:p>
    <w:p>
      <w:pPr>
        <w:pStyle w:val="Checklist"/>
        <w:ind w:left="173" w:hanging="173"/>
      </w:pPr>
      <w:r>
        <w:rPr>
          <w:rFonts w:ascii="Inter" w:hAnsi="Inter" w:eastAsia="Inter" w:cs="Inter"/>
          <w:b w:val="0"/>
          <w:color w:val="18181B"/>
        </w:rPr>
        <w:t>□  Monitoring, security controls and backup protection are active in the recovered environment.</w:t>
      </w:r>
    </w:p>
    <w:p>
      <w:pPr>
        <w:pStyle w:val="Heading2"/>
      </w:pPr>
      <w:r>
        <w:t>Account for missing and uncertain work</w:t>
      </w:r>
    </w:p>
    <w:p>
      <w:r>
        <w:rPr>
          <w:rFonts w:ascii="Inter" w:hAnsi="Inter" w:eastAsia="Inter" w:cs="Inter"/>
          <w:b w:val="0"/>
          <w:color w:val="18181B"/>
        </w:rPr>
        <w:t>Identify the interval between the accepted recovery point and the disruption. Determine which transactions can be reconstructed, which require reconciliation and which remain unconfirmed. Agree how affected people will be informed and who owns correction. Do not treat a healthy service check as proof that no data was lost.</w:t>
      </w:r>
    </w:p>
    <w:p>
      <w:pPr>
        <w:pStyle w:val="Fieldlabel"/>
      </w:pPr>
      <w:r>
        <w:rPr>
          <w:rFonts w:ascii="Inter" w:hAnsi="Inter" w:eastAsia="Inter" w:cs="Inter"/>
          <w:b/>
          <w:color w:val="18181B"/>
        </w:rPr>
        <w:t>Validation evidence • exceptions • technical reviewer</w:t>
      </w:r>
    </w:p>
    <w:sdt>
      <w:sdtPr>
        <w:alias w:val="Validation evidence • exceptions • technical reviewer"/>
        <w:tag w:val="field-9c9fee6b161b"/>
        <w:id w:val="9975057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Accepted recovery point • disruption point • data-loss interval</w:t>
      </w:r>
    </w:p>
    <w:sdt>
      <w:sdtPr>
        <w:alias w:val="Accepted recovery point • disruption point • data-loss interval"/>
        <w:tag w:val="field-1500587609ea"/>
        <w:id w:val="75938708"/>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Business acceptance • accepted restrictions • decision time</w:t>
      </w:r>
    </w:p>
    <w:sdt>
      <w:sdtPr>
        <w:alias w:val="Business acceptance • accepted restrictions • decision time"/>
        <w:tag w:val="field-b5dc35353f6e"/>
        <w:id w:val="87874592"/>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Control failback</w:t>
      </w:r>
    </w:p>
    <w:p>
      <w:r>
        <w:rPr>
          <w:rFonts w:ascii="Inter" w:hAnsi="Inter" w:eastAsia="Inter" w:cs="Inter"/>
          <w:b w:val="0"/>
          <w:color w:val="18181B"/>
        </w:rPr>
        <w:t>Before returning to the original environment, identify the authoritative copy and the writes created during recovery. Plan synchronization, reconciliation and cutover so that two environments cannot accept conflicting writes. Define the rollback boundary and re-run the relevant validation after cutover.</w:t>
      </w:r>
    </w:p>
    <w:p>
      <w:pPr>
        <w:pStyle w:val="Small"/>
      </w:pPr>
      <w:r>
        <w:rPr>
          <w:rFonts w:ascii="Inter" w:hAnsi="Inter" w:eastAsia="Inter" w:cs="Inter"/>
          <w:b w:val="0"/>
          <w:color w:val="18181B"/>
        </w:rPr>
        <w:t>Close recovery only when the business owner accepts the agreed service and remaining work has owners. Keep the broader incident open when investigation, notification or corrective work remains.</w:t>
      </w:r>
    </w:p>
    <w:p>
      <w:pPr>
        <w:pStyle w:val="Eyebrow"/>
        <w:pageBreakBefore/>
      </w:pPr>
      <w:r>
        <w:rPr>
          <w:rFonts w:ascii="Inter" w:hAnsi="Inter" w:eastAsia="Inter" w:cs="Inter"/>
          <w:b w:val="0"/>
          <w:color w:val="18181B"/>
        </w:rPr>
        <w:t>06 / Protection and recovery</w:t>
      </w:r>
    </w:p>
    <w:p>
      <w:pPr>
        <w:pStyle w:val="Heading1"/>
      </w:pPr>
      <w:r>
        <w:t>Exercise the plan and close evidence gaps</w:t>
      </w:r>
    </w:p>
    <w:p>
      <w:pPr>
        <w:pStyle w:val="Deck"/>
      </w:pPr>
      <w:r>
        <w:rPr>
          <w:rFonts w:ascii="Inter" w:hAnsi="Inter" w:eastAsia="Inter" w:cs="Inter"/>
          <w:b w:val="0"/>
          <w:color w:val="18181B"/>
        </w:rPr>
        <w:t>Test the ability to recover, including the people and dependencies needed to act.</w:t>
      </w:r>
    </w:p>
    <w:p>
      <w:pPr>
        <w:pStyle w:val="Heading2"/>
      </w:pPr>
      <w:r>
        <w:t>Choose the exercise for the uncertainty</w:t>
      </w:r>
    </w:p>
    <w:p>
      <w:r>
        <w:rPr>
          <w:rFonts w:ascii="Inter" w:hAnsi="Inter" w:eastAsia="Inter" w:cs="Inter"/>
          <w:b w:val="0"/>
          <w:color w:val="18181B"/>
        </w:rPr>
        <w:t>A discussion can expose missing responsibilities. A restore into an isolated environment can prove that a selected recovery set is usable. An end-to-end exercise can reveal dependency, access and timing failures. Select the scope from the service’s risks and the claims the team needs to verify.</w:t>
      </w:r>
    </w:p>
    <w:p>
      <w:r>
        <w:rPr>
          <w:rFonts w:ascii="Inter" w:hAnsi="Inter" w:eastAsia="Inter" w:cs="Inter"/>
          <w:b w:val="0"/>
          <w:color w:val="18181B"/>
        </w:rPr>
        <w:t>Agree the objective, permitted actions, stop conditions and production protections before execution. Include the person expected to respond outside normal hours. Test access from the conditions expected during an incident, rather than relying on an administrator’s already authenticated session.</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880"/>
        <w:gridCol w:w="7056"/>
      </w:tblGrid>
      <w:tr>
        <w:trPr>
          <w:cantSplit/>
          <w:tblHeader/>
        </w:trPr>
        <w:tc>
          <w:tcPr>
            <w:tcW w:type="dxa" w:w="2880"/>
            <w:vAlign w:val="center"/>
            <w:shd w:fill="F4F4F5"/>
          </w:tcPr>
          <w:p>
            <w:pPr>
              <w:pStyle w:val="Tablecopy"/>
            </w:pPr>
            <w:r/>
            <w:r>
              <w:rPr>
                <w:rFonts w:ascii="Inter" w:hAnsi="Inter" w:eastAsia="Inter" w:cs="Inter"/>
                <w:b/>
                <w:color w:val="18181B"/>
                <w:sz w:val="21"/>
              </w:rPr>
              <w:t>Evidence to retain</w:t>
            </w:r>
          </w:p>
        </w:tc>
        <w:tc>
          <w:tcPr>
            <w:tcW w:type="dxa" w:w="7056"/>
            <w:vAlign w:val="center"/>
            <w:shd w:fill="F4F4F5"/>
          </w:tcPr>
          <w:p>
            <w:pPr>
              <w:pStyle w:val="Tablecopy"/>
            </w:pPr>
            <w:r/>
            <w:r>
              <w:rPr>
                <w:rFonts w:ascii="Inter" w:hAnsi="Inter" w:eastAsia="Inter" w:cs="Inter"/>
                <w:b/>
                <w:color w:val="18181B"/>
                <w:sz w:val="21"/>
              </w:rPr>
              <w:t>Why it matters</w:t>
            </w:r>
          </w:p>
        </w:tc>
      </w:tr>
      <w:tr>
        <w:trPr>
          <w:cantSplit/>
        </w:trPr>
        <w:tc>
          <w:tcPr>
            <w:tcW w:type="dxa" w:w="2880"/>
            <w:vAlign w:val="center"/>
          </w:tcPr>
          <w:p>
            <w:pPr>
              <w:pStyle w:val="Tablecopy"/>
            </w:pPr>
            <w:r/>
            <w:r>
              <w:rPr>
                <w:rFonts w:ascii="Inter" w:hAnsi="Inter" w:eastAsia="Inter" w:cs="Inter"/>
                <w:b w:val="0"/>
                <w:color w:val="18181B"/>
                <w:sz w:val="21"/>
              </w:rPr>
              <w:t>Recovery source and versions</w:t>
            </w:r>
          </w:p>
        </w:tc>
        <w:tc>
          <w:tcPr>
            <w:tcW w:type="dxa" w:w="7056"/>
            <w:vAlign w:val="center"/>
          </w:tcPr>
          <w:p>
            <w:pPr>
              <w:pStyle w:val="Tablecopy"/>
            </w:pPr>
            <w:r/>
            <w:r>
              <w:rPr>
                <w:rFonts w:ascii="Inter" w:hAnsi="Inter" w:eastAsia="Inter" w:cs="Inter"/>
                <w:b w:val="0"/>
                <w:color w:val="18181B"/>
                <w:sz w:val="21"/>
              </w:rPr>
              <w:t>Connects the test to a real data set, configuration and application build.</w:t>
            </w:r>
          </w:p>
        </w:tc>
      </w:tr>
      <w:tr>
        <w:trPr>
          <w:cantSplit/>
        </w:trPr>
        <w:tc>
          <w:tcPr>
            <w:tcW w:type="dxa" w:w="2880"/>
            <w:vAlign w:val="center"/>
          </w:tcPr>
          <w:p>
            <w:pPr>
              <w:pStyle w:val="Tablecopy"/>
            </w:pPr>
            <w:r/>
            <w:r>
              <w:rPr>
                <w:rFonts w:ascii="Inter" w:hAnsi="Inter" w:eastAsia="Inter" w:cs="Inter"/>
                <w:b w:val="0"/>
                <w:color w:val="18181B"/>
                <w:sz w:val="21"/>
              </w:rPr>
              <w:t>Timing by stage</w:t>
            </w:r>
          </w:p>
        </w:tc>
        <w:tc>
          <w:tcPr>
            <w:tcW w:type="dxa" w:w="7056"/>
            <w:vAlign w:val="center"/>
          </w:tcPr>
          <w:p>
            <w:pPr>
              <w:pStyle w:val="Tablecopy"/>
            </w:pPr>
            <w:r/>
            <w:r>
              <w:rPr>
                <w:rFonts w:ascii="Inter" w:hAnsi="Inter" w:eastAsia="Inter" w:cs="Inter"/>
                <w:b w:val="0"/>
                <w:color w:val="18181B"/>
                <w:sz w:val="21"/>
              </w:rPr>
              <w:t>Shows where detection, access, restoration or validation consumes the recovery window.</w:t>
            </w:r>
          </w:p>
        </w:tc>
      </w:tr>
      <w:tr>
        <w:trPr>
          <w:cantSplit/>
        </w:trPr>
        <w:tc>
          <w:tcPr>
            <w:tcW w:type="dxa" w:w="2880"/>
            <w:vAlign w:val="center"/>
          </w:tcPr>
          <w:p>
            <w:pPr>
              <w:pStyle w:val="Tablecopy"/>
            </w:pPr>
            <w:r/>
            <w:r>
              <w:rPr>
                <w:rFonts w:ascii="Inter" w:hAnsi="Inter" w:eastAsia="Inter" w:cs="Inter"/>
                <w:b w:val="0"/>
                <w:color w:val="18181B"/>
                <w:sz w:val="21"/>
              </w:rPr>
              <w:t>Data reconciliation result</w:t>
            </w:r>
          </w:p>
        </w:tc>
        <w:tc>
          <w:tcPr>
            <w:tcW w:type="dxa" w:w="7056"/>
            <w:vAlign w:val="center"/>
          </w:tcPr>
          <w:p>
            <w:pPr>
              <w:pStyle w:val="Tablecopy"/>
            </w:pPr>
            <w:r/>
            <w:r>
              <w:rPr>
                <w:rFonts w:ascii="Inter" w:hAnsi="Inter" w:eastAsia="Inter" w:cs="Inter"/>
                <w:b w:val="0"/>
                <w:color w:val="18181B"/>
                <w:sz w:val="21"/>
              </w:rPr>
              <w:t>Demonstrates the usable recovery point and records gaps or uncertainty.</w:t>
            </w:r>
          </w:p>
        </w:tc>
      </w:tr>
      <w:tr>
        <w:trPr>
          <w:cantSplit/>
        </w:trPr>
        <w:tc>
          <w:tcPr>
            <w:tcW w:type="dxa" w:w="2880"/>
            <w:vAlign w:val="center"/>
          </w:tcPr>
          <w:p>
            <w:pPr>
              <w:pStyle w:val="Tablecopy"/>
            </w:pPr>
            <w:r/>
            <w:r>
              <w:rPr>
                <w:rFonts w:ascii="Inter" w:hAnsi="Inter" w:eastAsia="Inter" w:cs="Inter"/>
                <w:b w:val="0"/>
                <w:color w:val="18181B"/>
                <w:sz w:val="21"/>
              </w:rPr>
              <w:t>Procedure deviations</w:t>
            </w:r>
          </w:p>
        </w:tc>
        <w:tc>
          <w:tcPr>
            <w:tcW w:type="dxa" w:w="7056"/>
            <w:vAlign w:val="center"/>
          </w:tcPr>
          <w:p>
            <w:pPr>
              <w:pStyle w:val="Tablecopy"/>
            </w:pPr>
            <w:r/>
            <w:r>
              <w:rPr>
                <w:rFonts w:ascii="Inter" w:hAnsi="Inter" w:eastAsia="Inter" w:cs="Inter"/>
                <w:b w:val="0"/>
                <w:color w:val="18181B"/>
                <w:sz w:val="21"/>
              </w:rPr>
              <w:t>Identifies undocumented knowledge, unsafe steps or missing prerequisites.</w:t>
            </w:r>
          </w:p>
        </w:tc>
      </w:tr>
      <w:tr>
        <w:trPr>
          <w:cantSplit/>
        </w:trPr>
        <w:tc>
          <w:tcPr>
            <w:tcW w:type="dxa" w:w="2880"/>
            <w:vAlign w:val="center"/>
          </w:tcPr>
          <w:p>
            <w:pPr>
              <w:pStyle w:val="Tablecopy"/>
            </w:pPr>
            <w:r/>
            <w:r>
              <w:rPr>
                <w:rFonts w:ascii="Inter" w:hAnsi="Inter" w:eastAsia="Inter" w:cs="Inter"/>
                <w:b w:val="0"/>
                <w:color w:val="18181B"/>
                <w:sz w:val="21"/>
              </w:rPr>
              <w:t>Defect and retest record</w:t>
            </w:r>
          </w:p>
        </w:tc>
        <w:tc>
          <w:tcPr>
            <w:tcW w:type="dxa" w:w="7056"/>
            <w:vAlign w:val="center"/>
          </w:tcPr>
          <w:p>
            <w:pPr>
              <w:pStyle w:val="Tablecopy"/>
            </w:pPr>
            <w:r/>
            <w:r>
              <w:rPr>
                <w:rFonts w:ascii="Inter" w:hAnsi="Inter" w:eastAsia="Inter" w:cs="Inter"/>
                <w:b w:val="0"/>
                <w:color w:val="18181B"/>
                <w:sz w:val="21"/>
              </w:rPr>
              <w:t>Shows that a finding was fixed and its correction demonstrated.</w:t>
            </w:r>
          </w:p>
        </w:tc>
      </w:tr>
    </w:tbl>
    <w:p>
      <w:pPr>
        <w:pStyle w:val="Tablegap"/>
      </w:pPr>
    </w:p>
    <w:p>
      <w:pPr>
        <w:pStyle w:val="Heading2"/>
      </w:pPr>
      <w:r>
        <w:t>Exercise record</w:t>
      </w:r>
    </w:p>
    <w:p>
      <w:pPr>
        <w:pStyle w:val="Fieldlabel"/>
      </w:pPr>
      <w:r>
        <w:rPr>
          <w:rFonts w:ascii="Inter" w:hAnsi="Inter" w:eastAsia="Inter" w:cs="Inter"/>
          <w:b/>
          <w:color w:val="18181B"/>
        </w:rPr>
        <w:t>Exercise date • scenario • scope • lead</w:t>
      </w:r>
    </w:p>
    <w:sdt>
      <w:sdtPr>
        <w:alias w:val="Exercise date • scenario • scope • lead"/>
        <w:tag w:val="field-c1d232c9b7a8"/>
        <w:id w:val="1465358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Measured recovery time / point • objectives met or missed</w:t>
      </w:r>
    </w:p>
    <w:sdt>
      <w:sdtPr>
        <w:alias w:val="Measured recovery time / point • objectives met or missed"/>
        <w:tag w:val="field-6fa3da49efff"/>
        <w:id w:val="22353932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Finding • consequence • corrective owner • due date</w:t>
      </w:r>
    </w:p>
    <w:sdt>
      <w:sdtPr>
        <w:alias w:val="Finding • consequence • corrective owner • due date"/>
        <w:tag w:val="field-1225f42be2f6"/>
        <w:id w:val="3063214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Retest evidence • reviewer • closure date</w:t>
      </w:r>
    </w:p>
    <w:sdt>
      <w:sdtPr>
        <w:alias w:val="Retest evidence • reviewer • closure date"/>
        <w:tag w:val="field-0a594b7d2a34"/>
        <w:id w:val="178868223"/>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A successful test establishes evidence for its conditions. Review the plan again after material changes to data, dependencies, identity, infrastructure or the recovery method.</w:t>
      </w:r>
    </w:p>
    <w:p>
      <w:pPr>
        <w:pStyle w:val="Eyebrow"/>
        <w:pageBreakBefore/>
      </w:pPr>
      <w:r>
        <w:rPr>
          <w:rFonts w:ascii="Inter" w:hAnsi="Inter" w:eastAsia="Inter" w:cs="Inter"/>
          <w:b w:val="0"/>
          <w:color w:val="18181B"/>
        </w:rPr>
        <w:t>07 / Protection and recovery</w:t>
      </w:r>
    </w:p>
    <w:p>
      <w:pPr>
        <w:pStyle w:val="Heading1"/>
      </w:pPr>
      <w:r>
        <w:t>Maintain the recovery operating record</w:t>
      </w:r>
    </w:p>
    <w:p>
      <w:pPr>
        <w:pStyle w:val="Deck"/>
      </w:pPr>
      <w:r>
        <w:rPr>
          <w:rFonts w:ascii="Inter" w:hAnsi="Inter" w:eastAsia="Inter" w:cs="Inter"/>
          <w:b w:val="0"/>
          <w:color w:val="18181B"/>
        </w:rPr>
        <w:t>Keep ownership, exceptions and review triggers current between incidents.</w:t>
      </w:r>
    </w:p>
    <w:p>
      <w:pPr>
        <w:pStyle w:val="Heading2"/>
      </w:pPr>
      <w:r>
        <w:t>Assign responsibilities before they are needed</w:t>
      </w:r>
    </w:p>
    <w:p>
      <w:r>
        <w:rPr>
          <w:rFonts w:ascii="Inter" w:hAnsi="Inter" w:eastAsia="Inter" w:cs="Inter"/>
          <w:b w:val="0"/>
          <w:color w:val="18181B"/>
        </w:rPr>
      </w:r>
      <w:r>
        <w:rPr>
          <w:rFonts w:ascii="Inter" w:hAnsi="Inter" w:eastAsia="Inter" w:cs="Inter"/>
          <w:b/>
          <w:color w:val="18181B"/>
        </w:rPr>
        <w:t>Business owner.</w:t>
      </w:r>
      <w:r>
        <w:rPr>
          <w:rFonts w:ascii="Inter" w:hAnsi="Inter" w:eastAsia="Inter" w:cs="Inter"/>
          <w:b w:val="0"/>
          <w:color w:val="18181B"/>
        </w:rPr>
        <w:t xml:space="preserve"> Sets recovery priorities and accepts the restored business outcome and known restrictions.</w:t>
      </w:r>
    </w:p>
    <w:p>
      <w:r>
        <w:rPr>
          <w:rFonts w:ascii="Inter" w:hAnsi="Inter" w:eastAsia="Inter" w:cs="Inter"/>
          <w:b w:val="0"/>
          <w:color w:val="18181B"/>
        </w:rPr>
      </w:r>
      <w:r>
        <w:rPr>
          <w:rFonts w:ascii="Inter" w:hAnsi="Inter" w:eastAsia="Inter" w:cs="Inter"/>
          <w:b/>
          <w:color w:val="18181B"/>
        </w:rPr>
        <w:t>Incident lead.</w:t>
      </w:r>
      <w:r>
        <w:rPr>
          <w:rFonts w:ascii="Inter" w:hAnsi="Inter" w:eastAsia="Inter" w:cs="Inter"/>
          <w:b w:val="0"/>
          <w:color w:val="18181B"/>
        </w:rPr>
        <w:t xml:space="preserve"> Coordinates the response, authorizes recovery actions and controls the decision log.</w:t>
      </w:r>
    </w:p>
    <w:p>
      <w:r>
        <w:rPr>
          <w:rFonts w:ascii="Inter" w:hAnsi="Inter" w:eastAsia="Inter" w:cs="Inter"/>
          <w:b w:val="0"/>
          <w:color w:val="18181B"/>
        </w:rPr>
      </w:r>
      <w:r>
        <w:rPr>
          <w:rFonts w:ascii="Inter" w:hAnsi="Inter" w:eastAsia="Inter" w:cs="Inter"/>
          <w:b/>
          <w:color w:val="18181B"/>
        </w:rPr>
        <w:t>Technical recovery owner.</w:t>
      </w:r>
      <w:r>
        <w:rPr>
          <w:rFonts w:ascii="Inter" w:hAnsi="Inter" w:eastAsia="Inter" w:cs="Inter"/>
          <w:b w:val="0"/>
          <w:color w:val="18181B"/>
        </w:rPr>
        <w:t xml:space="preserve"> Maintains the procedure, prepares operators and verifies restoration evidence.</w:t>
      </w:r>
    </w:p>
    <w:p>
      <w:r>
        <w:rPr>
          <w:rFonts w:ascii="Inter" w:hAnsi="Inter" w:eastAsia="Inter" w:cs="Inter"/>
          <w:b w:val="0"/>
          <w:color w:val="18181B"/>
        </w:rPr>
      </w:r>
      <w:r>
        <w:rPr>
          <w:rFonts w:ascii="Inter" w:hAnsi="Inter" w:eastAsia="Inter" w:cs="Inter"/>
          <w:b/>
          <w:color w:val="18181B"/>
        </w:rPr>
        <w:t>Security lead.</w:t>
      </w:r>
      <w:r>
        <w:rPr>
          <w:rFonts w:ascii="Inter" w:hAnsi="Inter" w:eastAsia="Inter" w:cs="Inter"/>
          <w:b w:val="0"/>
          <w:color w:val="18181B"/>
        </w:rPr>
        <w:t xml:space="preserve"> Assesses trust, containment and safe reconnection when compromise is suspected.</w:t>
      </w:r>
    </w:p>
    <w:p>
      <w:r>
        <w:rPr>
          <w:rFonts w:ascii="Inter" w:hAnsi="Inter" w:eastAsia="Inter" w:cs="Inter"/>
          <w:b w:val="0"/>
          <w:color w:val="18181B"/>
        </w:rPr>
      </w:r>
      <w:r>
        <w:rPr>
          <w:rFonts w:ascii="Inter" w:hAnsi="Inter" w:eastAsia="Inter" w:cs="Inter"/>
          <w:b/>
          <w:color w:val="18181B"/>
        </w:rPr>
        <w:t>Communication owner.</w:t>
      </w:r>
      <w:r>
        <w:rPr>
          <w:rFonts w:ascii="Inter" w:hAnsi="Inter" w:eastAsia="Inter" w:cs="Inter"/>
          <w:b w:val="0"/>
          <w:color w:val="18181B"/>
        </w:rPr>
        <w:t xml:space="preserve"> Issues consistent updates and coordinates approved messages to affected parties.</w:t>
      </w:r>
    </w:p>
    <w:p>
      <w:pPr>
        <w:pStyle w:val="Fieldlabel"/>
      </w:pPr>
      <w:r>
        <w:rPr>
          <w:rFonts w:ascii="Inter" w:hAnsi="Inter" w:eastAsia="Inter" w:cs="Inter"/>
          <w:b/>
          <w:color w:val="18181B"/>
        </w:rPr>
        <w:t>Named role holders • deputies • out-of-band contact location</w:t>
      </w:r>
    </w:p>
    <w:sdt>
      <w:sdtPr>
        <w:alias w:val="Named role holders • deputies • out-of-band contact location"/>
        <w:tag w:val="field-5d9dec902cd3"/>
        <w:id w:val="118496577"/>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Review protection as an operating service</w:t>
      </w:r>
    </w:p>
    <w:p>
      <w:r>
        <w:rPr>
          <w:rFonts w:ascii="Inter" w:hAnsi="Inter" w:eastAsia="Inter" w:cs="Inter"/>
          <w:b w:val="0"/>
          <w:color w:val="18181B"/>
        </w:rPr>
        <w:t>Check overdue protection jobs, capacity, retention expiry, access changes and unresolved restore failures. Review whether the protected inventory still matches the live service. Track changes to dependencies, contracts and provider access that could prevent recovery even while backup jobs remain green.</w:t>
      </w:r>
    </w:p>
    <w:p>
      <w:pPr>
        <w:pStyle w:val="Heading2"/>
      </w:pPr>
      <w:r>
        <w:t>Manage exceptions explicitly</w:t>
      </w:r>
    </w:p>
    <w:p>
      <w:r>
        <w:rPr>
          <w:rFonts w:ascii="Inter" w:hAnsi="Inter" w:eastAsia="Inter" w:cs="Inter"/>
          <w:b w:val="0"/>
          <w:color w:val="18181B"/>
        </w:rPr>
        <w:t>For an unmet recovery objective or missing protection control, record the exposed service, likely consequence, interim measure and accountable owner. Set a review date and an expiry or escalation condition. An exception must not silently become the service’s permanent recovery design.</w:t>
      </w:r>
    </w:p>
    <w:p>
      <w:pPr>
        <w:pStyle w:val="Fieldlabel"/>
      </w:pPr>
      <w:r>
        <w:rPr>
          <w:rFonts w:ascii="Inter" w:hAnsi="Inter" w:eastAsia="Inter" w:cs="Inter"/>
          <w:b/>
          <w:color w:val="18181B"/>
        </w:rPr>
        <w:t>Exception • impact • interim measure • accountable owner</w:t>
      </w:r>
    </w:p>
    <w:sdt>
      <w:sdtPr>
        <w:alias w:val="Exception • impact • interim measure • accountable owner"/>
        <w:tag w:val="field-091973e3e20b"/>
        <w:id w:val="46529813"/>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Review trigger / date • approval • expiry</w:t>
      </w:r>
    </w:p>
    <w:sdt>
      <w:sdtPr>
        <w:alias w:val="Review trigger / date • approval • expiry"/>
        <w:tag w:val="field-d8c10a1348da"/>
        <w:id w:val="3228210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Plan version • review date • approving owners</w:t>
      </w:r>
    </w:p>
    <w:sdt>
      <w:sdtPr>
        <w:alias w:val="Plan version • review date • approving owners"/>
        <w:tag w:val="field-8c90c4daca6a"/>
        <w:id w:val="14306069"/>
      </w:sdtPr>
      <w:sdtContent>
        <w:p>
          <w:pPr>
            <w:pStyle w:val="Entry"/>
            <w:pBdr>
              <w:bottom w:val="single" w:sz="4" w:color="D4D4D8" w:space="1"/>
            </w:pBdr>
          </w:pPr>
          <w:r>
            <w:rPr>
              <w:rFonts w:ascii="Inter" w:hAnsi="Inter" w:eastAsia="Inter" w:cs="Inter"/>
              <w:color w:val="18181B"/>
            </w:rPr>
            <w:t xml:space="preserve"> </w:t>
          </w:r>
        </w:p>
      </w:sdtContent>
    </w:sdt>
    <w:sectPr w:rsidR="00FC693F" w:rsidRPr="0006063C" w:rsidSect="00034616">
      <w:headerReference w:type="default" r:id="rId9"/>
      <w:footerReference w:type="default" r:id="rId10"/>
      <w:pgSz w:w="12240" w:h="15840"/>
      <w:pgMar w:top="1310" w:right="1152" w:bottom="1008" w:left="1152"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family w:val="swiss"/>
    <w:embedRegular r:id="rIdInter1" w:fontKey="{B209C0D6-A39E-47CA-9091-93DD78C97B83}"/>
    <w:embedBold r:id="rIdInter2" w:fontKey="{96945EE7-5AFD-443D-ADC1-E429C727059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rPr>
        <w:rFonts w:ascii="Inter" w:hAnsi="Inter" w:eastAsia="Inter" w:cs="Inter"/>
        <w:b w:val="0"/>
        <w:color w:val="52525B"/>
        <w:sz w:val="16"/>
      </w:rPr>
      <w:t>© MT BYTES</w:t>
    </w:r>
    <w:r>
      <w:rPr>
        <w:rFonts w:ascii="Inter" w:hAnsi="Inter" w:eastAsia="Inter" w:cs="Inter"/>
        <w:color w:val="18181B"/>
        <w:sz w:val="16"/>
      </w:rPr>
      <w:tab/>
    </w:r>
    <w:r>
      <w:fldChar w:fldCharType="begin"/>
    </w:r>
    <w:r>
      <w:instrText> PAGE </w:instrText>
    </w:r>
    <w:r>
      <w:rPr>
        <w:rFonts w:ascii="Inter" w:hAnsi="Inter" w:eastAsia="Inter" w:cs="Inter"/>
        <w:b w:val="0"/>
        <w:color w:val="52525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36" w:val="right"/>
      </w:tabs>
      <w:spacing w:after="0"/>
    </w:pPr>
    <w:r>
      <w:drawing>
        <wp:inline xmlns:a="http://schemas.openxmlformats.org/drawingml/2006/main" xmlns:pic="http://schemas.openxmlformats.org/drawingml/2006/picture">
          <wp:extent cx="1307592" cy="345695"/>
          <wp:docPr id="1" name="Picture 1" descr="MT BYTES — Innovation in Motion"/>
          <wp:cNvGraphicFramePr>
            <a:graphicFrameLocks noChangeAspect="1"/>
          </wp:cNvGraphicFramePr>
          <a:graphic>
            <a:graphicData uri="http://schemas.openxmlformats.org/drawingml/2006/picture">
              <pic:pic>
                <pic:nvPicPr>
                  <pic:cNvPr id="0" name="mtbytes-logo.png"/>
                  <pic:cNvPicPr/>
                </pic:nvPicPr>
                <pic:blipFill>
                  <a:blip r:embed="rId1"/>
                  <a:stretch>
                    <a:fillRect/>
                  </a:stretch>
                </pic:blipFill>
                <pic:spPr>
                  <a:xfrm>
                    <a:off x="0" y="0"/>
                    <a:ext cx="1307592" cy="345695"/>
                  </a:xfrm>
                  <a:prstGeom prst="rect"/>
                </pic:spPr>
              </pic:pic>
            </a:graphicData>
          </a:graphic>
        </wp:inline>
      </w:drawing>
    </w:r>
    <w:r>
      <w:rPr>
        <w:rFonts w:ascii="Inter" w:hAnsi="Inter" w:eastAsia="Inter" w:cs="Inter"/>
        <w:b w:val="0"/>
        <w:color w:val="000000"/>
        <w:sz w:val="16"/>
      </w:rPr>
      <w:tab/>
      <w:t>Backup and Recovery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00"/>
    </w:pPr>
    <w:rPr>
      <w:rFonts w:ascii="Inter" w:hAnsi="Inter" w:eastAsia="Inter" w:cs="Inter"/>
      <w:color w:val="18181B"/>
      <w:sz w:val="22"/>
    </w:rPr>
  </w:style>
  <w:style w:type="paragraph" w:styleId="Header">
    <w:name w:val="header"/>
    <w:basedOn w:val="Normal"/>
    <w:link w:val="HeaderChar"/>
    <w:uiPriority w:val="99"/>
    <w:unhideWhenUsed/>
    <w:rsid w:val="00E618BF"/>
    <w:pPr>
      <w:widowControl/>
      <w:spacing w:after="0" w:line="240" w:lineRule="auto"/>
    </w:pPr>
    <w:rPr>
      <w:rFonts w:ascii="Inter" w:hAnsi="Inter" w:eastAsia="Inter" w:cs="Inter"/>
      <w:color w:val="000000"/>
    </w:rPr>
  </w:style>
  <w:style w:type="character" w:customStyle="1" w:styleId="HeaderChar">
    <w:name w:val="Header Char"/>
    <w:basedOn w:val="DefaultParagraphFont"/>
    <w:link w:val="Header"/>
    <w:uiPriority w:val="99"/>
    <w:rsid w:val="00E618BF"/>
    <w:rPr>
      <w:rFonts w:ascii="Inter" w:hAnsi="Inter" w:eastAsia="Inter" w:cs="Inter"/>
      <w:color w:val="000000"/>
    </w:rPr>
  </w:style>
  <w:style w:type="paragraph" w:styleId="Footer">
    <w:name w:val="footer"/>
    <w:basedOn w:val="Normal"/>
    <w:link w:val="FooterChar"/>
    <w:uiPriority w:val="99"/>
    <w:unhideWhenUsed/>
    <w:rsid w:val="00E618BF"/>
    <w:pPr>
      <w:widowControl/>
      <w:spacing w:after="0" w:line="240" w:lineRule="auto"/>
    </w:pPr>
    <w:rPr>
      <w:rFonts w:ascii="Inter" w:hAnsi="Inter" w:eastAsia="Inter" w:cs="Inter"/>
      <w:color w:val="000000"/>
    </w:rPr>
  </w:style>
  <w:style w:type="character" w:customStyle="1" w:styleId="FooterChar">
    <w:name w:val="Footer Char"/>
    <w:basedOn w:val="DefaultParagraphFont"/>
    <w:link w:val="Footer"/>
    <w:uiPriority w:val="99"/>
    <w:rsid w:val="00E618BF"/>
    <w:rPr>
      <w:rFonts w:ascii="Inter" w:hAnsi="Inter" w:eastAsia="Inter" w:cs="Inter"/>
      <w:color w:val="000000"/>
    </w:rPr>
  </w:style>
  <w:style w:type="paragraph" w:styleId="Heading1">
    <w:name w:val="heading 1"/>
    <w:basedOn w:val="Normal"/>
    <w:next w:val="Normal"/>
    <w:link w:val="Heading1Char"/>
    <w:uiPriority w:val="9"/>
    <w:qFormat/>
    <w:rsid w:val="00FC693F"/>
    <w:pPr>
      <w:keepNext/>
      <w:keepLines/>
      <w:widowControl/>
      <w:spacing w:before="0" w:after="240" w:line="252" w:lineRule="auto"/>
      <w:outlineLvl w:val="0"/>
    </w:pPr>
    <w:rPr>
      <w:rFonts w:ascii="Inter" w:hAnsi="Inter" w:eastAsia="Inter" w:cs="Inter"/>
      <w:b/>
      <w:bCs/>
      <w:color w:val="000000"/>
      <w:sz w:val="46"/>
      <w:szCs w:val="28"/>
    </w:rPr>
  </w:style>
  <w:style w:type="paragraph" w:styleId="Heading2">
    <w:name w:val="heading 2"/>
    <w:basedOn w:val="Normal"/>
    <w:next w:val="Normal"/>
    <w:link w:val="Heading2Char"/>
    <w:uiPriority w:val="9"/>
    <w:unhideWhenUsed/>
    <w:qFormat/>
    <w:rsid w:val="00FC693F"/>
    <w:pPr>
      <w:keepNext/>
      <w:keepLines/>
      <w:widowControl/>
      <w:spacing w:before="160" w:after="140" w:line="252" w:lineRule="auto"/>
      <w:outlineLvl w:val="1"/>
    </w:pPr>
    <w:rPr>
      <w:rFonts w:ascii="Inter" w:hAnsi="Inter" w:eastAsia="Inter" w:cs="Inter"/>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160" w:after="120" w:line="252" w:lineRule="auto"/>
      <w:outlineLvl w:val="2"/>
    </w:pPr>
    <w:rPr>
      <w:rFonts w:ascii="Inter" w:hAnsi="Inter" w:eastAsia="Inter" w:cs="Inter"/>
      <w:b/>
      <w:bCs/>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Inter" w:hAnsi="Inter" w:eastAsia="Inter" w:cs="Inter"/>
      <w:b/>
      <w:bCs/>
      <w:i/>
      <w:iCs/>
      <w:color w:val="000000"/>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Inter" w:hAnsi="Inter" w:eastAsia="Inter" w:cs="Inter"/>
      <w:color w:val="000000"/>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Inter" w:hAnsi="Inter" w:eastAsia="Inter" w:cs="Inter"/>
      <w:i/>
      <w:iCs/>
      <w:color w:val="000000"/>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Inter" w:hAnsi="Inter" w:eastAsia="Inter" w:cs="Inter"/>
      <w:i/>
      <w:iCs/>
      <w:color w:val="000000"/>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Inter" w:hAnsi="Inter" w:eastAsia="Inter" w:cs="Inter"/>
      <w:color w:val="000000"/>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Inter" w:hAnsi="Inter" w:eastAsia="Inter" w:cs="Inter"/>
      <w:i/>
      <w:iCs/>
      <w:color w:val="000000"/>
      <w:sz w:val="20"/>
      <w:szCs w:val="20"/>
    </w:rPr>
  </w:style>
  <w:style w:type="character" w:default="1" w:styleId="DefaultParagraphFont">
    <w:name w:val="Default Paragraph Font"/>
    <w:uiPriority w:val="1"/>
    <w:semiHidden/>
    <w:unhideWhenUsed/>
    <w:rPr>
      <w:rFonts w:ascii="Inter" w:hAnsi="Inter" w:eastAsia="Inter" w:cs="Inte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rPr>
      <w:rFonts w:ascii="Inter" w:hAnsi="Inter" w:eastAsia="Inter" w:cs="Inter"/>
      <w:color w:val="000000"/>
    </w:rPr>
  </w:style>
  <w:style w:type="character" w:customStyle="1" w:styleId="Heading1Char">
    <w:name w:val="Heading 1 Char"/>
    <w:basedOn w:val="DefaultParagraphFont"/>
    <w:link w:val="Heading1"/>
    <w:uiPriority w:val="9"/>
    <w:rsid w:val="00FC693F"/>
    <w:rPr>
      <w:rFonts w:ascii="Inter" w:hAnsi="Inter" w:eastAsia="Inter" w:cs="Inter"/>
      <w:b/>
      <w:bCs/>
      <w:color w:val="000000"/>
      <w:sz w:val="28"/>
      <w:szCs w:val="28"/>
    </w:rPr>
  </w:style>
  <w:style w:type="character" w:customStyle="1" w:styleId="Heading2Char">
    <w:name w:val="Heading 2 Char"/>
    <w:basedOn w:val="DefaultParagraphFont"/>
    <w:link w:val="Heading2"/>
    <w:uiPriority w:val="9"/>
    <w:rsid w:val="00FC693F"/>
    <w:rPr>
      <w:rFonts w:ascii="Inter" w:hAnsi="Inter" w:eastAsia="Inter" w:cs="Inter"/>
      <w:b/>
      <w:bCs/>
      <w:color w:val="000000"/>
      <w:sz w:val="26"/>
      <w:szCs w:val="26"/>
    </w:rPr>
  </w:style>
  <w:style w:type="character" w:customStyle="1" w:styleId="Heading3Char">
    <w:name w:val="Heading 3 Char"/>
    <w:basedOn w:val="DefaultParagraphFont"/>
    <w:link w:val="Heading3"/>
    <w:uiPriority w:val="9"/>
    <w:rsid w:val="00FC693F"/>
    <w:rPr>
      <w:rFonts w:ascii="Inter" w:hAnsi="Inter" w:eastAsia="Inter" w:cs="Inter"/>
      <w:b/>
      <w:bCs/>
      <w:color w:val="000000"/>
    </w:rPr>
  </w:style>
  <w:style w:type="paragraph" w:styleId="Title">
    <w:name w:val="Title"/>
    <w:basedOn w:val="Normal"/>
    <w:next w:val="Normal"/>
    <w:link w:val="TitleChar"/>
    <w:uiPriority w:val="10"/>
    <w:qFormat/>
    <w:rsid w:val="00FC693F"/>
    <w:pPr>
      <w:keepNext/>
      <w:widowControl/>
      <w:spacing w:after="240" w:line="252" w:lineRule="auto" w:before="0"/>
      <w:contextualSpacing/>
    </w:pPr>
    <w:rPr>
      <w:rFonts w:ascii="Inter" w:hAnsi="Inter" w:eastAsia="Inter" w:cs="Inter"/>
      <w:b/>
      <w:color w:val="000000"/>
      <w:spacing w:val="5"/>
      <w:kern w:val="28"/>
      <w:sz w:val="58"/>
      <w:szCs w:val="52"/>
    </w:rPr>
  </w:style>
  <w:style w:type="character" w:customStyle="1" w:styleId="TitleChar">
    <w:name w:val="Title Char"/>
    <w:basedOn w:val="DefaultParagraphFont"/>
    <w:link w:val="Title"/>
    <w:uiPriority w:val="10"/>
    <w:rsid w:val="00FC693F"/>
    <w:rPr>
      <w:rFonts w:ascii="Inter" w:hAnsi="Inter" w:eastAsia="Inter" w:cs="Inter"/>
      <w:color w:val="000000"/>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Inter" w:hAnsi="Inter" w:eastAsia="Inter" w:cs="Inter"/>
      <w:i/>
      <w:iCs/>
      <w:color w:val="000000"/>
      <w:spacing w:val="15"/>
      <w:sz w:val="24"/>
      <w:szCs w:val="24"/>
    </w:rPr>
  </w:style>
  <w:style w:type="character" w:customStyle="1" w:styleId="SubtitleChar">
    <w:name w:val="Subtitle Char"/>
    <w:basedOn w:val="DefaultParagraphFont"/>
    <w:link w:val="Subtitle"/>
    <w:uiPriority w:val="11"/>
    <w:rsid w:val="00FC693F"/>
    <w:rPr>
      <w:rFonts w:ascii="Inter" w:hAnsi="Inter" w:eastAsia="Inter" w:cs="Inter"/>
      <w:i/>
      <w:iCs/>
      <w:color w:val="000000"/>
      <w:spacing w:val="15"/>
      <w:sz w:val="24"/>
      <w:szCs w:val="24"/>
    </w:rPr>
  </w:style>
  <w:style w:type="paragraph" w:styleId="ListParagraph">
    <w:name w:val="List Paragraph"/>
    <w:basedOn w:val="Normal"/>
    <w:uiPriority w:val="34"/>
    <w:qFormat/>
    <w:rsid w:val="00FC693F"/>
    <w:pPr>
      <w:widowControl/>
      <w:ind w:left="720"/>
      <w:contextualSpacing/>
    </w:pPr>
    <w:rPr>
      <w:rFonts w:ascii="Inter" w:hAnsi="Inter" w:eastAsia="Inter" w:cs="Inter"/>
      <w:color w:val="000000"/>
    </w:rPr>
  </w:style>
  <w:style w:type="paragraph" w:styleId="BodyText">
    <w:name w:val="Body Text"/>
    <w:basedOn w:val="Normal"/>
    <w:link w:val="BodyTextChar"/>
    <w:uiPriority w:val="99"/>
    <w:unhideWhenUsed/>
    <w:rsid w:val="00AA1D8D"/>
    <w:pPr>
      <w:widowControl/>
      <w:spacing w:after="120"/>
    </w:pPr>
    <w:rPr>
      <w:rFonts w:ascii="Inter" w:hAnsi="Inter" w:eastAsia="Inter" w:cs="Inter"/>
      <w:color w:val="000000"/>
    </w:rPr>
  </w:style>
  <w:style w:type="character" w:customStyle="1" w:styleId="BodyTextChar">
    <w:name w:val="Body Text Char"/>
    <w:basedOn w:val="DefaultParagraphFont"/>
    <w:link w:val="BodyText"/>
    <w:uiPriority w:val="99"/>
    <w:rsid w:val="00AA1D8D"/>
    <w:rPr>
      <w:rFonts w:ascii="Inter" w:hAnsi="Inter" w:eastAsia="Inter" w:cs="Inter"/>
      <w:color w:val="000000"/>
    </w:rPr>
  </w:style>
  <w:style w:type="paragraph" w:styleId="BodyText2">
    <w:name w:val="Body Text 2"/>
    <w:basedOn w:val="Normal"/>
    <w:link w:val="BodyText2Char"/>
    <w:uiPriority w:val="99"/>
    <w:unhideWhenUsed/>
    <w:rsid w:val="00AA1D8D"/>
    <w:pPr>
      <w:widowControl/>
      <w:spacing w:after="120" w:line="480" w:lineRule="auto"/>
    </w:pPr>
    <w:rPr>
      <w:rFonts w:ascii="Inter" w:hAnsi="Inter" w:eastAsia="Inter" w:cs="Inter"/>
      <w:color w:val="000000"/>
    </w:rPr>
  </w:style>
  <w:style w:type="character" w:customStyle="1" w:styleId="BodyText2Char">
    <w:name w:val="Body Text 2 Char"/>
    <w:basedOn w:val="DefaultParagraphFont"/>
    <w:link w:val="BodyText2"/>
    <w:uiPriority w:val="99"/>
    <w:rsid w:val="00AA1D8D"/>
    <w:rPr>
      <w:rFonts w:ascii="Inter" w:hAnsi="Inter" w:eastAsia="Inter" w:cs="Inter"/>
      <w:color w:val="000000"/>
    </w:rPr>
  </w:style>
  <w:style w:type="paragraph" w:styleId="BodyText3">
    <w:name w:val="Body Text 3"/>
    <w:basedOn w:val="Normal"/>
    <w:link w:val="BodyText3Char"/>
    <w:uiPriority w:val="99"/>
    <w:unhideWhenUsed/>
    <w:rsid w:val="00AA1D8D"/>
    <w:pPr>
      <w:widowControl/>
      <w:spacing w:after="120"/>
    </w:pPr>
    <w:rPr>
      <w:rFonts w:ascii="Inter" w:hAnsi="Inter" w:eastAsia="Inter" w:cs="Inter"/>
      <w:color w:val="000000"/>
      <w:sz w:val="16"/>
      <w:szCs w:val="16"/>
    </w:rPr>
  </w:style>
  <w:style w:type="character" w:customStyle="1" w:styleId="BodyText3Char">
    <w:name w:val="Body Text 3 Char"/>
    <w:basedOn w:val="DefaultParagraphFont"/>
    <w:link w:val="BodyText3"/>
    <w:uiPriority w:val="99"/>
    <w:rsid w:val="00AA1D8D"/>
    <w:rPr>
      <w:rFonts w:ascii="Inter" w:hAnsi="Inter" w:eastAsia="Inter" w:cs="Inter"/>
      <w:color w:val="000000"/>
      <w:sz w:val="16"/>
      <w:szCs w:val="16"/>
    </w:rPr>
  </w:style>
  <w:style w:type="paragraph" w:styleId="List">
    <w:name w:val="List"/>
    <w:basedOn w:val="Normal"/>
    <w:uiPriority w:val="99"/>
    <w:unhideWhenUsed/>
    <w:rsid w:val="00AA1D8D"/>
    <w:pPr>
      <w:widowControl/>
      <w:ind w:left="360" w:hanging="360"/>
      <w:contextualSpacing/>
    </w:pPr>
    <w:rPr>
      <w:rFonts w:ascii="Inter" w:hAnsi="Inter" w:eastAsia="Inter" w:cs="Inter"/>
      <w:color w:val="000000"/>
    </w:rPr>
  </w:style>
  <w:style w:type="paragraph" w:styleId="List2">
    <w:name w:val="List 2"/>
    <w:basedOn w:val="Normal"/>
    <w:uiPriority w:val="99"/>
    <w:unhideWhenUsed/>
    <w:rsid w:val="00326F90"/>
    <w:pPr>
      <w:widowControl/>
      <w:ind w:left="720" w:hanging="360"/>
      <w:contextualSpacing/>
    </w:pPr>
    <w:rPr>
      <w:rFonts w:ascii="Inter" w:hAnsi="Inter" w:eastAsia="Inter" w:cs="Inter"/>
      <w:color w:val="000000"/>
    </w:rPr>
  </w:style>
  <w:style w:type="paragraph" w:styleId="List3">
    <w:name w:val="List 3"/>
    <w:basedOn w:val="Normal"/>
    <w:uiPriority w:val="99"/>
    <w:unhideWhenUsed/>
    <w:rsid w:val="00326F90"/>
    <w:pPr>
      <w:widowControl/>
      <w:ind w:left="1080" w:hanging="360"/>
      <w:contextualSpacing/>
    </w:pPr>
    <w:rPr>
      <w:rFonts w:ascii="Inter" w:hAnsi="Inter" w:eastAsia="Inter" w:cs="Inter"/>
      <w:color w:val="000000"/>
    </w:rPr>
  </w:style>
  <w:style w:type="paragraph" w:styleId="ListBullet">
    <w:name w:val="List Bullet"/>
    <w:basedOn w:val="Normal"/>
    <w:uiPriority w:val="99"/>
    <w:unhideWhenUsed/>
    <w:rsid w:val="00326F90"/>
    <w:pPr>
      <w:widowControl/>
      <w:numPr>
        <w:numId w:val="1"/>
      </w:numPr>
      <w:contextualSpacing/>
    </w:pPr>
    <w:rPr>
      <w:rFonts w:ascii="Inter" w:hAnsi="Inter" w:eastAsia="Inter" w:cs="Inter"/>
      <w:color w:val="000000"/>
    </w:rPr>
  </w:style>
  <w:style w:type="paragraph" w:styleId="ListBullet2">
    <w:name w:val="List Bullet 2"/>
    <w:basedOn w:val="Normal"/>
    <w:uiPriority w:val="99"/>
    <w:unhideWhenUsed/>
    <w:rsid w:val="00326F90"/>
    <w:pPr>
      <w:widowControl/>
      <w:numPr>
        <w:numId w:val="2"/>
      </w:numPr>
      <w:contextualSpacing/>
    </w:pPr>
    <w:rPr>
      <w:rFonts w:ascii="Inter" w:hAnsi="Inter" w:eastAsia="Inter" w:cs="Inter"/>
      <w:color w:val="000000"/>
    </w:rPr>
  </w:style>
  <w:style w:type="paragraph" w:styleId="ListBullet3">
    <w:name w:val="List Bullet 3"/>
    <w:basedOn w:val="Normal"/>
    <w:uiPriority w:val="99"/>
    <w:unhideWhenUsed/>
    <w:rsid w:val="00326F90"/>
    <w:pPr>
      <w:widowControl/>
      <w:numPr>
        <w:numId w:val="3"/>
      </w:numPr>
      <w:contextualSpacing/>
    </w:pPr>
    <w:rPr>
      <w:rFonts w:ascii="Inter" w:hAnsi="Inter" w:eastAsia="Inter" w:cs="Inter"/>
      <w:color w:val="000000"/>
    </w:rPr>
  </w:style>
  <w:style w:type="paragraph" w:styleId="ListNumber">
    <w:name w:val="List Number"/>
    <w:basedOn w:val="Normal"/>
    <w:uiPriority w:val="99"/>
    <w:unhideWhenUsed/>
    <w:rsid w:val="00326F90"/>
    <w:pPr>
      <w:widowControl/>
      <w:numPr>
        <w:numId w:val="5"/>
      </w:numPr>
      <w:contextualSpacing/>
    </w:pPr>
    <w:rPr>
      <w:rFonts w:ascii="Inter" w:hAnsi="Inter" w:eastAsia="Inter" w:cs="Inter"/>
      <w:color w:val="000000"/>
    </w:rPr>
  </w:style>
  <w:style w:type="paragraph" w:styleId="ListNumber2">
    <w:name w:val="List Number 2"/>
    <w:basedOn w:val="Normal"/>
    <w:uiPriority w:val="99"/>
    <w:unhideWhenUsed/>
    <w:rsid w:val="0029639D"/>
    <w:pPr>
      <w:widowControl/>
      <w:numPr>
        <w:numId w:val="6"/>
      </w:numPr>
      <w:contextualSpacing/>
    </w:pPr>
    <w:rPr>
      <w:rFonts w:ascii="Inter" w:hAnsi="Inter" w:eastAsia="Inter" w:cs="Inter"/>
      <w:color w:val="000000"/>
    </w:rPr>
  </w:style>
  <w:style w:type="paragraph" w:styleId="ListNumber3">
    <w:name w:val="List Number 3"/>
    <w:basedOn w:val="Normal"/>
    <w:uiPriority w:val="99"/>
    <w:unhideWhenUsed/>
    <w:rsid w:val="0029639D"/>
    <w:pPr>
      <w:widowControl/>
      <w:numPr>
        <w:numId w:val="7"/>
      </w:numPr>
      <w:contextualSpacing/>
    </w:pPr>
    <w:rPr>
      <w:rFonts w:ascii="Inter" w:hAnsi="Inter" w:eastAsia="Inter" w:cs="Inter"/>
      <w:color w:val="000000"/>
    </w:rPr>
  </w:style>
  <w:style w:type="paragraph" w:styleId="ListContinue">
    <w:name w:val="List Continue"/>
    <w:basedOn w:val="Normal"/>
    <w:uiPriority w:val="99"/>
    <w:unhideWhenUsed/>
    <w:rsid w:val="0029639D"/>
    <w:pPr>
      <w:widowControl/>
      <w:spacing w:after="120"/>
      <w:ind w:left="360"/>
      <w:contextualSpacing/>
    </w:pPr>
    <w:rPr>
      <w:rFonts w:ascii="Inter" w:hAnsi="Inter" w:eastAsia="Inter" w:cs="Inter"/>
      <w:color w:val="000000"/>
    </w:rPr>
  </w:style>
  <w:style w:type="paragraph" w:styleId="ListContinue2">
    <w:name w:val="List Continue 2"/>
    <w:basedOn w:val="Normal"/>
    <w:uiPriority w:val="99"/>
    <w:unhideWhenUsed/>
    <w:rsid w:val="0029639D"/>
    <w:pPr>
      <w:widowControl/>
      <w:spacing w:after="120"/>
      <w:ind w:left="720"/>
      <w:contextualSpacing/>
    </w:pPr>
    <w:rPr>
      <w:rFonts w:ascii="Inter" w:hAnsi="Inter" w:eastAsia="Inter" w:cs="Inter"/>
      <w:color w:val="000000"/>
    </w:rPr>
  </w:style>
  <w:style w:type="paragraph" w:styleId="ListContinue3">
    <w:name w:val="List Continue 3"/>
    <w:basedOn w:val="Normal"/>
    <w:uiPriority w:val="99"/>
    <w:unhideWhenUsed/>
    <w:rsid w:val="0029639D"/>
    <w:pPr>
      <w:widowControl/>
      <w:spacing w:after="120"/>
      <w:ind w:left="1080"/>
      <w:contextualSpacing/>
    </w:pPr>
    <w:rPr>
      <w:rFonts w:ascii="Inter" w:hAnsi="Inter" w:eastAsia="Inter" w:cs="Inter"/>
      <w:color w:val="000000"/>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Inter" w:hAnsi="Inter" w:eastAsia="Inter" w:cs="Inter"/>
      <w:color w:val="000000"/>
      <w:sz w:val="20"/>
      <w:szCs w:val="20"/>
    </w:rPr>
  </w:style>
  <w:style w:type="character" w:customStyle="1" w:styleId="MacroTextChar">
    <w:name w:val="Macro Text Char"/>
    <w:basedOn w:val="DefaultParagraphFont"/>
    <w:link w:val="MacroText"/>
    <w:uiPriority w:val="99"/>
    <w:rsid w:val="0029639D"/>
    <w:rPr>
      <w:rFonts w:ascii="Inter" w:hAnsi="Inter" w:eastAsia="Inter" w:cs="Inter"/>
      <w:color w:val="000000"/>
      <w:sz w:val="20"/>
      <w:szCs w:val="20"/>
    </w:rPr>
  </w:style>
  <w:style w:type="paragraph" w:styleId="Quote">
    <w:name w:val="Quote"/>
    <w:basedOn w:val="Normal"/>
    <w:next w:val="Normal"/>
    <w:link w:val="QuoteChar"/>
    <w:uiPriority w:val="29"/>
    <w:qFormat/>
    <w:rsid w:val="00FC693F"/>
    <w:pPr>
      <w:widowControl/>
    </w:pPr>
    <w:rPr>
      <w:rFonts w:ascii="Inter" w:hAnsi="Inter" w:eastAsia="Inter" w:cs="Inter"/>
      <w:i/>
      <w:iCs/>
      <w:color w:val="000000"/>
    </w:rPr>
  </w:style>
  <w:style w:type="character" w:customStyle="1" w:styleId="QuoteChar">
    <w:name w:val="Quote Char"/>
    <w:basedOn w:val="DefaultParagraphFont"/>
    <w:link w:val="Quote"/>
    <w:uiPriority w:val="29"/>
    <w:rsid w:val="00FC693F"/>
    <w:rPr>
      <w:rFonts w:ascii="Inter" w:hAnsi="Inter" w:eastAsia="Inter" w:cs="Inter"/>
      <w:i/>
      <w:iCs/>
      <w:color w:val="000000"/>
    </w:rPr>
  </w:style>
  <w:style w:type="character" w:customStyle="1" w:styleId="Heading4Char">
    <w:name w:val="Heading 4 Char"/>
    <w:basedOn w:val="DefaultParagraphFont"/>
    <w:link w:val="Heading4"/>
    <w:uiPriority w:val="9"/>
    <w:semiHidden/>
    <w:rsid w:val="00FC693F"/>
    <w:rPr>
      <w:rFonts w:ascii="Inter" w:hAnsi="Inter" w:eastAsia="Inter" w:cs="Inter"/>
      <w:b/>
      <w:bCs/>
      <w:i/>
      <w:iCs/>
      <w:color w:val="000000"/>
    </w:rPr>
  </w:style>
  <w:style w:type="character" w:customStyle="1" w:styleId="Heading5Char">
    <w:name w:val="Heading 5 Char"/>
    <w:basedOn w:val="DefaultParagraphFont"/>
    <w:link w:val="Heading5"/>
    <w:uiPriority w:val="9"/>
    <w:semiHidden/>
    <w:rsid w:val="00FC693F"/>
    <w:rPr>
      <w:rFonts w:ascii="Inter" w:hAnsi="Inter" w:eastAsia="Inter" w:cs="Inter"/>
      <w:color w:val="000000"/>
    </w:rPr>
  </w:style>
  <w:style w:type="character" w:customStyle="1" w:styleId="Heading6Char">
    <w:name w:val="Heading 6 Char"/>
    <w:basedOn w:val="DefaultParagraphFont"/>
    <w:link w:val="Heading6"/>
    <w:uiPriority w:val="9"/>
    <w:semiHidden/>
    <w:rsid w:val="00FC693F"/>
    <w:rPr>
      <w:rFonts w:ascii="Inter" w:hAnsi="Inter" w:eastAsia="Inter" w:cs="Inter"/>
      <w:i/>
      <w:iCs/>
      <w:color w:val="000000"/>
    </w:rPr>
  </w:style>
  <w:style w:type="character" w:customStyle="1" w:styleId="Heading7Char">
    <w:name w:val="Heading 7 Char"/>
    <w:basedOn w:val="DefaultParagraphFont"/>
    <w:link w:val="Heading7"/>
    <w:uiPriority w:val="9"/>
    <w:semiHidden/>
    <w:rsid w:val="00FC693F"/>
    <w:rPr>
      <w:rFonts w:ascii="Inter" w:hAnsi="Inter" w:eastAsia="Inter" w:cs="Inter"/>
      <w:i/>
      <w:iCs/>
      <w:color w:val="000000"/>
    </w:rPr>
  </w:style>
  <w:style w:type="character" w:customStyle="1" w:styleId="Heading8Char">
    <w:name w:val="Heading 8 Char"/>
    <w:basedOn w:val="DefaultParagraphFont"/>
    <w:link w:val="Heading8"/>
    <w:uiPriority w:val="9"/>
    <w:semiHidden/>
    <w:rsid w:val="00FC693F"/>
    <w:rPr>
      <w:rFonts w:ascii="Inter" w:hAnsi="Inter" w:eastAsia="Inter" w:cs="Inter"/>
      <w:color w:val="000000"/>
      <w:sz w:val="20"/>
      <w:szCs w:val="20"/>
    </w:rPr>
  </w:style>
  <w:style w:type="character" w:customStyle="1" w:styleId="Heading9Char">
    <w:name w:val="Heading 9 Char"/>
    <w:basedOn w:val="DefaultParagraphFont"/>
    <w:link w:val="Heading9"/>
    <w:uiPriority w:val="9"/>
    <w:semiHidden/>
    <w:rsid w:val="00FC693F"/>
    <w:rPr>
      <w:rFonts w:ascii="Inter" w:hAnsi="Inter" w:eastAsia="Inter" w:cs="Inter"/>
      <w:i/>
      <w:iCs/>
      <w:color w:val="000000"/>
      <w:sz w:val="20"/>
      <w:szCs w:val="20"/>
    </w:rPr>
  </w:style>
  <w:style w:type="paragraph" w:styleId="Caption">
    <w:name w:val="caption"/>
    <w:basedOn w:val="Normal"/>
    <w:next w:val="Normal"/>
    <w:uiPriority w:val="35"/>
    <w:semiHidden/>
    <w:unhideWhenUsed/>
    <w:qFormat/>
    <w:rsid w:val="00FC693F"/>
    <w:pPr>
      <w:widowControl/>
      <w:spacing w:line="240" w:lineRule="auto"/>
    </w:pPr>
    <w:rPr>
      <w:rFonts w:ascii="Inter" w:hAnsi="Inter" w:eastAsia="Inter" w:cs="Inter"/>
      <w:b/>
      <w:bCs/>
      <w:color w:val="000000"/>
      <w:sz w:val="18"/>
      <w:szCs w:val="18"/>
    </w:rPr>
  </w:style>
  <w:style w:type="character" w:styleId="Strong">
    <w:name w:val="Strong"/>
    <w:basedOn w:val="DefaultParagraphFont"/>
    <w:uiPriority w:val="22"/>
    <w:qFormat/>
    <w:rsid w:val="00FC693F"/>
    <w:rPr>
      <w:rFonts w:ascii="Inter" w:hAnsi="Inter" w:eastAsia="Inter" w:cs="Inter"/>
      <w:b/>
      <w:bCs/>
      <w:color w:val="000000"/>
    </w:rPr>
  </w:style>
  <w:style w:type="character" w:styleId="Emphasis">
    <w:name w:val="Emphasis"/>
    <w:basedOn w:val="DefaultParagraphFont"/>
    <w:uiPriority w:val="20"/>
    <w:qFormat/>
    <w:rsid w:val="00FC693F"/>
    <w:rPr>
      <w:rFonts w:ascii="Inter" w:hAnsi="Inter" w:eastAsia="Inter" w:cs="Inter"/>
      <w:i/>
      <w:iCs/>
      <w:color w:val="000000"/>
    </w:rPr>
  </w:style>
  <w:style w:type="paragraph" w:styleId="IntenseQuote">
    <w:name w:val="Intense Quote"/>
    <w:basedOn w:val="Normal"/>
    <w:next w:val="Normal"/>
    <w:link w:val="IntenseQuoteChar"/>
    <w:uiPriority w:val="30"/>
    <w:qFormat/>
    <w:rsid w:val="00FC693F"/>
    <w:pPr>
      <w:widowControl/>
      <w:spacing w:before="200" w:after="280"/>
      <w:ind w:left="936" w:right="936"/>
    </w:pPr>
    <w:rPr>
      <w:rFonts w:ascii="Inter" w:hAnsi="Inter" w:eastAsia="Inter" w:cs="Inter"/>
      <w:b/>
      <w:bCs/>
      <w:i/>
      <w:iCs/>
      <w:color w:val="000000"/>
    </w:rPr>
  </w:style>
  <w:style w:type="character" w:customStyle="1" w:styleId="IntenseQuoteChar">
    <w:name w:val="Intense Quote Char"/>
    <w:basedOn w:val="DefaultParagraphFont"/>
    <w:link w:val="IntenseQuote"/>
    <w:uiPriority w:val="30"/>
    <w:rsid w:val="00FC693F"/>
    <w:rPr>
      <w:rFonts w:ascii="Inter" w:hAnsi="Inter" w:eastAsia="Inter" w:cs="Inter"/>
      <w:b/>
      <w:bCs/>
      <w:i/>
      <w:iCs/>
      <w:color w:val="000000"/>
    </w:rPr>
  </w:style>
  <w:style w:type="character" w:styleId="SubtleEmphasis">
    <w:name w:val="Subtle Emphasis"/>
    <w:basedOn w:val="DefaultParagraphFont"/>
    <w:uiPriority w:val="19"/>
    <w:qFormat/>
    <w:rsid w:val="00FC693F"/>
    <w:rPr>
      <w:rFonts w:ascii="Inter" w:hAnsi="Inter" w:eastAsia="Inter" w:cs="Inter"/>
      <w:i/>
      <w:iCs/>
      <w:color w:val="000000"/>
    </w:rPr>
  </w:style>
  <w:style w:type="character" w:styleId="IntenseEmphasis">
    <w:name w:val="Intense Emphasis"/>
    <w:basedOn w:val="DefaultParagraphFont"/>
    <w:uiPriority w:val="21"/>
    <w:qFormat/>
    <w:rsid w:val="00FC693F"/>
    <w:rPr>
      <w:rFonts w:ascii="Inter" w:hAnsi="Inter" w:eastAsia="Inter" w:cs="Inter"/>
      <w:b/>
      <w:bCs/>
      <w:i/>
      <w:iCs/>
      <w:color w:val="000000"/>
    </w:rPr>
  </w:style>
  <w:style w:type="character" w:styleId="SubtleReference">
    <w:name w:val="Subtle Reference"/>
    <w:basedOn w:val="DefaultParagraphFont"/>
    <w:uiPriority w:val="31"/>
    <w:qFormat/>
    <w:rsid w:val="00FC693F"/>
    <w:rPr>
      <w:rFonts w:ascii="Inter" w:hAnsi="Inter" w:eastAsia="Inter" w:cs="Inter"/>
      <w:smallCaps/>
      <w:color w:val="000000"/>
      <w:u w:val="single"/>
    </w:rPr>
  </w:style>
  <w:style w:type="character" w:styleId="IntenseReference">
    <w:name w:val="Intense Reference"/>
    <w:basedOn w:val="DefaultParagraphFont"/>
    <w:uiPriority w:val="32"/>
    <w:qFormat/>
    <w:rsid w:val="00FC693F"/>
    <w:rPr>
      <w:rFonts w:ascii="Inter" w:hAnsi="Inter" w:eastAsia="Inter" w:cs="Inter"/>
      <w:b/>
      <w:bCs/>
      <w:smallCaps/>
      <w:color w:val="000000"/>
      <w:spacing w:val="5"/>
      <w:u w:val="single"/>
    </w:rPr>
  </w:style>
  <w:style w:type="character" w:styleId="BookTitle">
    <w:name w:val="Book Title"/>
    <w:basedOn w:val="DefaultParagraphFont"/>
    <w:uiPriority w:val="33"/>
    <w:qFormat/>
    <w:rsid w:val="00FC693F"/>
    <w:rPr>
      <w:rFonts w:ascii="Inter" w:hAnsi="Inter" w:eastAsia="Inter" w:cs="Inter"/>
      <w:b/>
      <w:bCs/>
      <w:smallCaps/>
      <w:color w:val="000000"/>
      <w:spacing w:val="5"/>
    </w:rPr>
  </w:style>
  <w:style w:type="paragraph" w:styleId="TOCHeading">
    <w:name w:val="TOC Heading"/>
    <w:basedOn w:val="Heading1"/>
    <w:next w:val="Normal"/>
    <w:uiPriority w:val="39"/>
    <w:semiHidden/>
    <w:unhideWhenUsed/>
    <w:qFormat/>
    <w:rsid w:val="00FC693F"/>
    <w:pPr>
      <w:widowControl/>
      <w:outlineLvl w:val="9"/>
    </w:pPr>
    <w:rPr>
      <w:rFonts w:ascii="Inter" w:hAnsi="Inter" w:eastAsia="Inter" w:cs="Inte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before="0" w:after="300" w:line="300" w:lineRule="auto"/>
    </w:pPr>
    <w:rPr>
      <w:rFonts w:ascii="Inter" w:hAnsi="Inter" w:eastAsia="Inter" w:cs="Inter"/>
      <w:color w:val="18181B"/>
      <w:sz w:val="24"/>
    </w:rPr>
  </w:style>
  <w:style w:type="paragraph" w:customStyle="1" w:styleId="Eyebrow">
    <w:name w:val="Eyebrow"/>
    <w:pPr>
      <w:spacing w:before="0" w:after="160" w:line="264" w:lineRule="auto"/>
    </w:pPr>
    <w:rPr>
      <w:rFonts w:ascii="Inter" w:hAnsi="Inter" w:eastAsia="Inter" w:cs="Inter"/>
      <w:color w:val="18181B"/>
      <w:sz w:val="18"/>
    </w:rPr>
  </w:style>
  <w:style w:type="paragraph" w:customStyle="1" w:styleId="Fieldlabel">
    <w:name w:val="Field label"/>
    <w:pPr>
      <w:keepNext/>
      <w:spacing w:before="140" w:after="0" w:line="264" w:lineRule="auto"/>
    </w:pPr>
    <w:rPr>
      <w:rFonts w:ascii="Inter" w:hAnsi="Inter" w:eastAsia="Inter" w:cs="Inter"/>
      <w:b/>
      <w:color w:val="18181B"/>
      <w:sz w:val="19"/>
    </w:rPr>
  </w:style>
  <w:style w:type="paragraph" w:customStyle="1" w:styleId="Entry">
    <w:name w:val="Entry"/>
    <w:pPr>
      <w:spacing w:before="0" w:after="60" w:line="312" w:lineRule="auto"/>
    </w:pPr>
    <w:rPr>
      <w:rFonts w:ascii="Inter" w:hAnsi="Inter" w:eastAsia="Inter" w:cs="Inter"/>
      <w:color w:val="18181B"/>
      <w:sz w:val="22"/>
    </w:rPr>
  </w:style>
  <w:style w:type="paragraph" w:customStyle="1" w:styleId="Tablecopy">
    <w:name w:val="Table copy"/>
    <w:pPr>
      <w:spacing w:before="0" w:after="40" w:line="269" w:lineRule="auto"/>
    </w:pPr>
    <w:rPr>
      <w:rFonts w:ascii="Inter" w:hAnsi="Inter" w:eastAsia="Inter" w:cs="Inter"/>
      <w:color w:val="18181B"/>
      <w:sz w:val="21"/>
    </w:rPr>
  </w:style>
  <w:style w:type="paragraph" w:customStyle="1" w:styleId="Tablegap">
    <w:name w:val="Table gap"/>
    <w:pPr>
      <w:spacing w:before="0" w:after="60" w:line="240" w:lineRule="auto"/>
    </w:pPr>
    <w:rPr>
      <w:rFonts w:ascii="Inter" w:hAnsi="Inter" w:eastAsia="Inter" w:cs="Inter"/>
      <w:color w:val="18181B"/>
      <w:sz w:val="2"/>
    </w:rPr>
  </w:style>
  <w:style w:type="paragraph" w:customStyle="1" w:styleId="Small">
    <w:name w:val="Small"/>
    <w:pPr>
      <w:spacing w:before="0" w:after="120" w:line="276" w:lineRule="auto"/>
    </w:pPr>
    <w:rPr>
      <w:rFonts w:ascii="Inter" w:hAnsi="Inter" w:eastAsia="Inter" w:cs="Inter"/>
      <w:color w:val="18181B"/>
      <w:sz w:val="18"/>
    </w:rPr>
  </w:style>
  <w:style w:type="paragraph" w:customStyle="1" w:styleId="Checklist">
    <w:name w:val="Checklist"/>
    <w:pPr>
      <w:spacing w:before="0" w:after="100" w:line="276" w:lineRule="auto"/>
    </w:pPr>
    <w:rPr>
      <w:rFonts w:ascii="Inter" w:hAnsi="Inter" w:eastAsia="Inter" w:cs="Inter"/>
      <w:color w:val="18181B"/>
      <w:sz w:val="21"/>
    </w:rPr>
  </w:style>
  <w:style w:type="paragraph" w:customStyle="1" w:styleId="Step">
    <w:name w:val="Step"/>
    <w:pPr>
      <w:keepNext/>
      <w:spacing w:before="120" w:after="80" w:line="278" w:lineRule="auto"/>
    </w:pPr>
    <w:rPr>
      <w:rFonts w:ascii="Inter" w:hAnsi="Inter" w:eastAsia="Inter" w:cs="Inter"/>
      <w:color w:val="18181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Inter1" Type="http://schemas.openxmlformats.org/officeDocument/2006/relationships/font" Target="fonts/Inter-1.odttf"/><Relationship Id="rIdInter2" Type="http://schemas.openxmlformats.org/officeDocument/2006/relationships/font" Target="fonts/Inter-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 and Recovery Plan</dc:title>
  <dc:subject>Protect data, restore a usable service and verify the recovery outcome.</dc:subject>
  <dc:creator>MT BYTES</dc:creator>
  <cp:keywords/>
  <dc:description/>
  <cp:lastModifiedBy>MT BYTES</cp:lastModifiedBy>
  <cp:revision>1</cp:revision>
  <dcterms:created xsi:type="dcterms:W3CDTF">2013-12-23T23:15:00Z</dcterms:created>
  <dcterms:modified xsi:type="dcterms:W3CDTF">2013-12-23T23:15:00Z</dcterms:modified>
  <cp:category/>
</cp:coreProperties>
</file>