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rPr>
          <w:rFonts w:ascii="Inter" w:hAnsi="Inter" w:eastAsia="Inter" w:cs="Inter"/>
          <w:b w:val="0"/>
          <w:color w:val="18181B"/>
        </w:rPr>
        <w:t>GROWTH AND MEASUREMENT</w:t>
      </w:r>
    </w:p>
    <w:p>
      <w:pPr>
        <w:pStyle w:val="Title"/>
      </w:pPr>
      <w:r>
        <w:t>Conversion Experiment Brief</w:t>
      </w:r>
    </w:p>
    <w:p>
      <w:pPr>
        <w:pStyle w:val="Deck"/>
      </w:pPr>
      <w:r>
        <w:rPr>
          <w:rFonts w:ascii="Inter" w:hAnsi="Inter" w:eastAsia="Inter" w:cs="Inter"/>
          <w:b w:val="0"/>
          <w:color w:val="18181B"/>
        </w:rPr>
        <w:t>Agree the hypothesis, measurement and decision rule before exposing users to a change.</w:t>
      </w:r>
    </w:p>
    <w:p>
      <w:pPr>
        <w:pStyle w:val="Heading2"/>
      </w:pPr>
      <w:r>
        <w:t>Frame a decision worth testing</w:t>
      </w:r>
    </w:p>
    <w:p>
      <w:r>
        <w:rPr>
          <w:rFonts w:ascii="Inter" w:hAnsi="Inter" w:eastAsia="Inter" w:cs="Inter"/>
          <w:b w:val="0"/>
          <w:color w:val="18181B"/>
        </w:rPr>
        <w:t>Use a controlled experiment when a defined change can be assigned fairly and its effect can be measured. The brief should connect an observed problem to a proposed mechanism, a primary outcome and a decision. Agree those elements before launch so that the interpretation does not shift with the result.</w:t>
      </w:r>
    </w:p>
    <w:p>
      <w:pPr>
        <w:pStyle w:val="Heading2"/>
      </w:pPr>
      <w:r>
        <w:t>State the causal hypothesis</w:t>
      </w:r>
    </w:p>
    <w:p>
      <w:r>
        <w:rPr>
          <w:rFonts w:ascii="Inter" w:hAnsi="Inter" w:eastAsia="Inter" w:cs="Inter"/>
          <w:b w:val="0"/>
          <w:color w:val="18181B"/>
        </w:rPr>
        <w:t>Describe the eligible population, the specific change and the behavior expected to change. Explain why. Distinguish evidence of a problem from an assumption about its cause. A change with several independent mechanisms may produce a result that is difficult to interpret; decide whether the bundled release or each mechanism is the decision you need to evaluate.</w:t>
      </w:r>
    </w:p>
    <w:p>
      <w:pPr>
        <w:pStyle w:val="Fieldlabel"/>
      </w:pPr>
      <w:r>
        <w:rPr>
          <w:rFonts w:ascii="Inter" w:hAnsi="Inter" w:eastAsia="Inter" w:cs="Inter"/>
          <w:b/>
          <w:color w:val="18181B"/>
        </w:rPr>
        <w:t>Decision owner • experiment owner • analyst</w:t>
      </w:r>
    </w:p>
    <w:sdt>
      <w:sdtPr>
        <w:alias w:val="Decision owner • experiment owner • analyst"/>
        <w:tag w:val="field-4ee631e8fd64"/>
        <w:id w:val="23877015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Observed problem • supporting evidence</w:t>
      </w:r>
    </w:p>
    <w:sdt>
      <w:sdtPr>
        <w:alias w:val="Observed problem • supporting evidence"/>
        <w:tag w:val="field-97bbf9eef210"/>
        <w:id w:val="134877000"/>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Eligible population • proposed change • expected mechanism</w:t>
      </w:r>
    </w:p>
    <w:sdt>
      <w:sdtPr>
        <w:alias w:val="Eligible population • proposed change • expected mechanism"/>
        <w:tag w:val="field-b893df35171a"/>
        <w:id w:val="41721088"/>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Define success beyond a higher headline rate</w:t>
      </w:r>
    </w:p>
    <w:p>
      <w:r>
        <w:rPr>
          <w:rFonts w:ascii="Inter" w:hAnsi="Inter" w:eastAsia="Inter" w:cs="Inter"/>
          <w:b w:val="0"/>
          <w:color w:val="18181B"/>
        </w:rPr>
        <w:t>A conversion event should represent a useful outcome. Check whether an increase could come from lower-quality submissions, duplicate actions, misleading information or a shift in who reaches the measurement point. Define downstream and customer-protection measures where they can change the release decision.</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92"/>
        <w:gridCol w:w="7344"/>
      </w:tblGrid>
      <w:tr>
        <w:trPr>
          <w:cantSplit/>
          <w:tblHeader/>
        </w:trPr>
        <w:tc>
          <w:tcPr>
            <w:tcW w:type="dxa" w:w="2592"/>
            <w:vAlign w:val="center"/>
            <w:shd w:fill="F4F4F5"/>
          </w:tcPr>
          <w:p>
            <w:pPr>
              <w:pStyle w:val="Tablecopy"/>
            </w:pPr>
            <w:r/>
            <w:r>
              <w:rPr>
                <w:rFonts w:ascii="Inter" w:hAnsi="Inter" w:eastAsia="Inter" w:cs="Inter"/>
                <w:b/>
                <w:color w:val="18181B"/>
                <w:sz w:val="21"/>
              </w:rPr>
              <w:t>Decision condition</w:t>
            </w:r>
          </w:p>
        </w:tc>
        <w:tc>
          <w:tcPr>
            <w:tcW w:type="dxa" w:w="7344"/>
            <w:vAlign w:val="center"/>
            <w:shd w:fill="F4F4F5"/>
          </w:tcPr>
          <w:p>
            <w:pPr>
              <w:pStyle w:val="Tablecopy"/>
            </w:pPr>
            <w:r/>
            <w:r>
              <w:rPr>
                <w:rFonts w:ascii="Inter" w:hAnsi="Inter" w:eastAsia="Inter" w:cs="Inter"/>
                <w:b/>
                <w:color w:val="18181B"/>
                <w:sz w:val="21"/>
              </w:rPr>
              <w:t>Agree before launch</w:t>
            </w:r>
          </w:p>
        </w:tc>
      </w:tr>
      <w:tr>
        <w:trPr>
          <w:cantSplit/>
        </w:trPr>
        <w:tc>
          <w:tcPr>
            <w:tcW w:type="dxa" w:w="2592"/>
            <w:vAlign w:val="center"/>
          </w:tcPr>
          <w:p>
            <w:pPr>
              <w:pStyle w:val="Tablecopy"/>
            </w:pPr>
            <w:r/>
            <w:r>
              <w:rPr>
                <w:rFonts w:ascii="Inter" w:hAnsi="Inter" w:eastAsia="Inter" w:cs="Inter"/>
                <w:b w:val="0"/>
                <w:color w:val="18181B"/>
                <w:sz w:val="21"/>
              </w:rPr>
              <w:t>Value</w:t>
            </w:r>
          </w:p>
        </w:tc>
        <w:tc>
          <w:tcPr>
            <w:tcW w:type="dxa" w:w="7344"/>
            <w:vAlign w:val="center"/>
          </w:tcPr>
          <w:p>
            <w:pPr>
              <w:pStyle w:val="Tablecopy"/>
            </w:pPr>
            <w:r/>
            <w:r>
              <w:rPr>
                <w:rFonts w:ascii="Inter" w:hAnsi="Inter" w:eastAsia="Inter" w:cs="Inter"/>
                <w:b w:val="0"/>
                <w:color w:val="18181B"/>
                <w:sz w:val="21"/>
              </w:rPr>
              <w:t>The smallest effect that would justify implementation and ongoing cost.</w:t>
            </w:r>
          </w:p>
        </w:tc>
      </w:tr>
      <w:tr>
        <w:trPr>
          <w:cantSplit/>
        </w:trPr>
        <w:tc>
          <w:tcPr>
            <w:tcW w:type="dxa" w:w="2592"/>
            <w:vAlign w:val="center"/>
          </w:tcPr>
          <w:p>
            <w:pPr>
              <w:pStyle w:val="Tablecopy"/>
            </w:pPr>
            <w:r/>
            <w:r>
              <w:rPr>
                <w:rFonts w:ascii="Inter" w:hAnsi="Inter" w:eastAsia="Inter" w:cs="Inter"/>
                <w:b w:val="0"/>
                <w:color w:val="18181B"/>
                <w:sz w:val="21"/>
              </w:rPr>
              <w:t>Protection</w:t>
            </w:r>
          </w:p>
        </w:tc>
        <w:tc>
          <w:tcPr>
            <w:tcW w:type="dxa" w:w="7344"/>
            <w:vAlign w:val="center"/>
          </w:tcPr>
          <w:p>
            <w:pPr>
              <w:pStyle w:val="Tablecopy"/>
            </w:pPr>
            <w:r/>
            <w:r>
              <w:rPr>
                <w:rFonts w:ascii="Inter" w:hAnsi="Inter" w:eastAsia="Inter" w:cs="Inter"/>
                <w:b w:val="0"/>
                <w:color w:val="18181B"/>
                <w:sz w:val="21"/>
              </w:rPr>
              <w:t>The harm or deterioration that would prevent rollout even if conversion improves.</w:t>
            </w:r>
          </w:p>
        </w:tc>
      </w:tr>
      <w:tr>
        <w:trPr>
          <w:cantSplit/>
        </w:trPr>
        <w:tc>
          <w:tcPr>
            <w:tcW w:type="dxa" w:w="2592"/>
            <w:vAlign w:val="center"/>
          </w:tcPr>
          <w:p>
            <w:pPr>
              <w:pStyle w:val="Tablecopy"/>
            </w:pPr>
            <w:r/>
            <w:r>
              <w:rPr>
                <w:rFonts w:ascii="Inter" w:hAnsi="Inter" w:eastAsia="Inter" w:cs="Inter"/>
                <w:b w:val="0"/>
                <w:color w:val="18181B"/>
                <w:sz w:val="21"/>
              </w:rPr>
              <w:t>Feasibility</w:t>
            </w:r>
          </w:p>
        </w:tc>
        <w:tc>
          <w:tcPr>
            <w:tcW w:type="dxa" w:w="7344"/>
            <w:vAlign w:val="center"/>
          </w:tcPr>
          <w:p>
            <w:pPr>
              <w:pStyle w:val="Tablecopy"/>
            </w:pPr>
            <w:r/>
            <w:r>
              <w:rPr>
                <w:rFonts w:ascii="Inter" w:hAnsi="Inter" w:eastAsia="Inter" w:cs="Inter"/>
                <w:b w:val="0"/>
                <w:color w:val="18181B"/>
                <w:sz w:val="21"/>
              </w:rPr>
              <w:t>Whether eligible traffic, outcome delay and the planned analysis can support a useful conclusion.</w:t>
            </w:r>
          </w:p>
        </w:tc>
      </w:tr>
    </w:tbl>
    <w:p>
      <w:pPr>
        <w:pStyle w:val="Tablegap"/>
      </w:pPr>
    </w:p>
    <w:p>
      <w:pPr>
        <w:pStyle w:val="Small"/>
      </w:pPr>
      <w:r>
        <w:rPr>
          <w:rFonts w:ascii="Inter" w:hAnsi="Inter" w:eastAsia="Inter" w:cs="Inter"/>
          <w:b w:val="0"/>
          <w:color w:val="18181B"/>
        </w:rPr>
        <w:t>If random assignment is not feasible, describe the work as an observational evaluation and use a method suited to its confounding risks. Do not present a before-and-after comparison as a randomized test.</w:t>
      </w:r>
    </w:p>
    <w:p>
      <w:pPr>
        <w:pStyle w:val="Eyebrow"/>
        <w:pageBreakBefore/>
      </w:pPr>
      <w:r>
        <w:rPr>
          <w:rFonts w:ascii="Inter" w:hAnsi="Inter" w:eastAsia="Inter" w:cs="Inter"/>
          <w:b w:val="0"/>
          <w:color w:val="18181B"/>
        </w:rPr>
        <w:t>02 / Experiment design and decision</w:t>
      </w:r>
    </w:p>
    <w:p>
      <w:pPr>
        <w:pStyle w:val="Heading1"/>
      </w:pPr>
      <w:r>
        <w:t>Define assignment and exposure</w:t>
      </w:r>
    </w:p>
    <w:p>
      <w:pPr>
        <w:pStyle w:val="Deck"/>
      </w:pPr>
      <w:r>
        <w:rPr>
          <w:rFonts w:ascii="Inter" w:hAnsi="Inter" w:eastAsia="Inter" w:cs="Inter"/>
          <w:b w:val="0"/>
          <w:color w:val="18181B"/>
        </w:rPr>
        <w:t>Keep the comparison stable and make the analyzed population explicit.</w:t>
      </w:r>
    </w:p>
    <w:p>
      <w:pPr>
        <w:pStyle w:val="Heading2"/>
      </w:pPr>
      <w:r>
        <w:t>Choose the unit before counting traffic</w:t>
      </w:r>
    </w:p>
    <w:p>
      <w:r>
        <w:rPr>
          <w:rFonts w:ascii="Inter" w:hAnsi="Inter" w:eastAsia="Inter" w:cs="Inter"/>
          <w:b w:val="0"/>
          <w:color w:val="18181B"/>
        </w:rPr>
        <w:t>Choose an assignment unit that matches how the change is experienced: a person, account, organization or another defensible unit. Keep assignment stable through exposure, sign-in and use across devices. Preserve the agreed assigned groups in the primary analysis; document any deviation and its effect on interpretation.</w:t>
      </w:r>
    </w:p>
    <w:p>
      <w:r>
        <w:rPr>
          <w:rFonts w:ascii="Inter" w:hAnsi="Inter" w:eastAsia="Inter" w:cs="Inter"/>
          <w:b w:val="0"/>
          <w:color w:val="18181B"/>
        </w:rPr>
        <w:t>Use an analysis method that respects the assignment and correlation structure. Repeated visits by one assigned person are not independent people. If entire accounts are assigned, users within an account may be correlated. Record the analyst’s treatment of that dependence.</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92"/>
        <w:gridCol w:w="7344"/>
      </w:tblGrid>
      <w:tr>
        <w:trPr>
          <w:cantSplit/>
          <w:tblHeader/>
        </w:trPr>
        <w:tc>
          <w:tcPr>
            <w:tcW w:type="dxa" w:w="2592"/>
            <w:vAlign w:val="center"/>
            <w:shd w:fill="F4F4F5"/>
          </w:tcPr>
          <w:p>
            <w:pPr>
              <w:pStyle w:val="Tablecopy"/>
            </w:pPr>
            <w:r/>
            <w:r>
              <w:rPr>
                <w:rFonts w:ascii="Inter" w:hAnsi="Inter" w:eastAsia="Inter" w:cs="Inter"/>
                <w:b/>
                <w:color w:val="18181B"/>
                <w:sz w:val="21"/>
              </w:rPr>
              <w:t>Design decision</w:t>
            </w:r>
          </w:p>
        </w:tc>
        <w:tc>
          <w:tcPr>
            <w:tcW w:type="dxa" w:w="7344"/>
            <w:vAlign w:val="center"/>
            <w:shd w:fill="F4F4F5"/>
          </w:tcPr>
          <w:p>
            <w:pPr>
              <w:pStyle w:val="Tablecopy"/>
            </w:pPr>
            <w:r/>
            <w:r>
              <w:rPr>
                <w:rFonts w:ascii="Inter" w:hAnsi="Inter" w:eastAsia="Inter" w:cs="Inter"/>
                <w:b/>
                <w:color w:val="18181B"/>
                <w:sz w:val="21"/>
              </w:rPr>
              <w:t>Required specification</w:t>
            </w:r>
          </w:p>
        </w:tc>
      </w:tr>
      <w:tr>
        <w:trPr>
          <w:cantSplit/>
        </w:trPr>
        <w:tc>
          <w:tcPr>
            <w:tcW w:type="dxa" w:w="2592"/>
            <w:vAlign w:val="center"/>
          </w:tcPr>
          <w:p>
            <w:pPr>
              <w:pStyle w:val="Tablecopy"/>
            </w:pPr>
            <w:r/>
            <w:r>
              <w:rPr>
                <w:rFonts w:ascii="Inter" w:hAnsi="Inter" w:eastAsia="Inter" w:cs="Inter"/>
                <w:b w:val="0"/>
                <w:color w:val="18181B"/>
                <w:sz w:val="21"/>
              </w:rPr>
              <w:t>Eligibility</w:t>
            </w:r>
          </w:p>
        </w:tc>
        <w:tc>
          <w:tcPr>
            <w:tcW w:type="dxa" w:w="7344"/>
            <w:vAlign w:val="center"/>
          </w:tcPr>
          <w:p>
            <w:pPr>
              <w:pStyle w:val="Tablecopy"/>
            </w:pPr>
            <w:r/>
            <w:r>
              <w:rPr>
                <w:rFonts w:ascii="Inter" w:hAnsi="Inter" w:eastAsia="Inter" w:cs="Inter"/>
                <w:b w:val="0"/>
                <w:color w:val="18181B"/>
                <w:sz w:val="21"/>
              </w:rPr>
              <w:t>Pre-exposure rules, geography or service boundary, supported devices and excluded internal traffic.</w:t>
            </w:r>
          </w:p>
        </w:tc>
      </w:tr>
      <w:tr>
        <w:trPr>
          <w:cantSplit/>
        </w:trPr>
        <w:tc>
          <w:tcPr>
            <w:tcW w:type="dxa" w:w="2592"/>
            <w:vAlign w:val="center"/>
          </w:tcPr>
          <w:p>
            <w:pPr>
              <w:pStyle w:val="Tablecopy"/>
            </w:pPr>
            <w:r/>
            <w:r>
              <w:rPr>
                <w:rFonts w:ascii="Inter" w:hAnsi="Inter" w:eastAsia="Inter" w:cs="Inter"/>
                <w:b w:val="0"/>
                <w:color w:val="18181B"/>
                <w:sz w:val="21"/>
              </w:rPr>
              <w:t>Allocation</w:t>
            </w:r>
          </w:p>
        </w:tc>
        <w:tc>
          <w:tcPr>
            <w:tcW w:type="dxa" w:w="7344"/>
            <w:vAlign w:val="center"/>
          </w:tcPr>
          <w:p>
            <w:pPr>
              <w:pStyle w:val="Tablecopy"/>
            </w:pPr>
            <w:r/>
            <w:r>
              <w:rPr>
                <w:rFonts w:ascii="Inter" w:hAnsi="Inter" w:eastAsia="Inter" w:cs="Inter"/>
                <w:b w:val="0"/>
                <w:color w:val="18181B"/>
                <w:sz w:val="21"/>
              </w:rPr>
              <w:t>Variants, planned assignment proportions and mechanism for persistent allocation.</w:t>
            </w:r>
          </w:p>
        </w:tc>
      </w:tr>
      <w:tr>
        <w:trPr>
          <w:cantSplit/>
        </w:trPr>
        <w:tc>
          <w:tcPr>
            <w:tcW w:type="dxa" w:w="2592"/>
            <w:vAlign w:val="center"/>
          </w:tcPr>
          <w:p>
            <w:pPr>
              <w:pStyle w:val="Tablecopy"/>
            </w:pPr>
            <w:r/>
            <w:r>
              <w:rPr>
                <w:rFonts w:ascii="Inter" w:hAnsi="Inter" w:eastAsia="Inter" w:cs="Inter"/>
                <w:b w:val="0"/>
                <w:color w:val="18181B"/>
                <w:sz w:val="21"/>
              </w:rPr>
              <w:t>Exposure</w:t>
            </w:r>
          </w:p>
        </w:tc>
        <w:tc>
          <w:tcPr>
            <w:tcW w:type="dxa" w:w="7344"/>
            <w:vAlign w:val="center"/>
          </w:tcPr>
          <w:p>
            <w:pPr>
              <w:pStyle w:val="Tablecopy"/>
            </w:pPr>
            <w:r/>
            <w:r>
              <w:rPr>
                <w:rFonts w:ascii="Inter" w:hAnsi="Inter" w:eastAsia="Inter" w:cs="Inter"/>
                <w:b w:val="0"/>
                <w:color w:val="18181B"/>
                <w:sz w:val="21"/>
              </w:rPr>
              <w:t>What constitutes exposure, when it is logged and whether logging differs between variants.</w:t>
            </w:r>
          </w:p>
        </w:tc>
      </w:tr>
      <w:tr>
        <w:trPr>
          <w:cantSplit/>
        </w:trPr>
        <w:tc>
          <w:tcPr>
            <w:tcW w:type="dxa" w:w="2592"/>
            <w:vAlign w:val="center"/>
          </w:tcPr>
          <w:p>
            <w:pPr>
              <w:pStyle w:val="Tablecopy"/>
            </w:pPr>
            <w:r/>
            <w:r>
              <w:rPr>
                <w:rFonts w:ascii="Inter" w:hAnsi="Inter" w:eastAsia="Inter" w:cs="Inter"/>
                <w:b w:val="0"/>
                <w:color w:val="18181B"/>
                <w:sz w:val="21"/>
              </w:rPr>
              <w:t>Interactions</w:t>
            </w:r>
          </w:p>
        </w:tc>
        <w:tc>
          <w:tcPr>
            <w:tcW w:type="dxa" w:w="7344"/>
            <w:vAlign w:val="center"/>
          </w:tcPr>
          <w:p>
            <w:pPr>
              <w:pStyle w:val="Tablecopy"/>
            </w:pPr>
            <w:r/>
            <w:r>
              <w:rPr>
                <w:rFonts w:ascii="Inter" w:hAnsi="Inter" w:eastAsia="Inter" w:cs="Inter"/>
                <w:b w:val="0"/>
                <w:color w:val="18181B"/>
                <w:sz w:val="21"/>
              </w:rPr>
              <w:t>Overlapping experiments, shared resources or user interaction that could contaminate the comparison.</w:t>
            </w:r>
          </w:p>
        </w:tc>
      </w:tr>
      <w:tr>
        <w:trPr>
          <w:cantSplit/>
        </w:trPr>
        <w:tc>
          <w:tcPr>
            <w:tcW w:type="dxa" w:w="2592"/>
            <w:vAlign w:val="center"/>
          </w:tcPr>
          <w:p>
            <w:pPr>
              <w:pStyle w:val="Tablecopy"/>
            </w:pPr>
            <w:r/>
            <w:r>
              <w:rPr>
                <w:rFonts w:ascii="Inter" w:hAnsi="Inter" w:eastAsia="Inter" w:cs="Inter"/>
                <w:b w:val="0"/>
                <w:color w:val="18181B"/>
                <w:sz w:val="21"/>
              </w:rPr>
              <w:t>Analysis population</w:t>
            </w:r>
          </w:p>
        </w:tc>
        <w:tc>
          <w:tcPr>
            <w:tcW w:type="dxa" w:w="7344"/>
            <w:vAlign w:val="center"/>
          </w:tcPr>
          <w:p>
            <w:pPr>
              <w:pStyle w:val="Tablecopy"/>
            </w:pPr>
            <w:r/>
            <w:r>
              <w:rPr>
                <w:rFonts w:ascii="Inter" w:hAnsi="Inter" w:eastAsia="Inter" w:cs="Inter"/>
                <w:b w:val="0"/>
                <w:color w:val="18181B"/>
                <w:sz w:val="21"/>
              </w:rPr>
              <w:t>Which assigned units enter the primary analysis and which exclusions are justified before launch.</w:t>
            </w:r>
          </w:p>
        </w:tc>
      </w:tr>
    </w:tbl>
    <w:p>
      <w:pPr>
        <w:pStyle w:val="Tablegap"/>
      </w:pPr>
    </w:p>
    <w:p>
      <w:pPr>
        <w:pStyle w:val="Heading2"/>
      </w:pPr>
      <w:r>
        <w:t>Avoid selection created by the change</w:t>
      </w:r>
    </w:p>
    <w:p>
      <w:r>
        <w:rPr>
          <w:rFonts w:ascii="Inter" w:hAnsi="Inter" w:eastAsia="Inter" w:cs="Inter"/>
          <w:b w:val="0"/>
          <w:color w:val="18181B"/>
        </w:rPr>
        <w:t>Do not restrict the primary comparison to people who completed an action that the treatment itself may influence. That can compare different kinds of people in each variant. If a triggered analysis is planned, establish a rule that identifies comparable eligible units in both variants and document the validation.</w:t>
      </w:r>
    </w:p>
    <w:p>
      <w:pPr>
        <w:pStyle w:val="Fieldlabel"/>
      </w:pPr>
      <w:r>
        <w:rPr>
          <w:rFonts w:ascii="Inter" w:hAnsi="Inter" w:eastAsia="Inter" w:cs="Inter"/>
          <w:b/>
          <w:color w:val="18181B"/>
        </w:rPr>
        <w:t>Assignment unit • identity persistence • allocation</w:t>
      </w:r>
    </w:p>
    <w:sdt>
      <w:sdtPr>
        <w:alias w:val="Assignment unit • identity persistence • allocation"/>
        <w:tag w:val="field-8a70949db2f2"/>
        <w:id w:val="11590968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Analysis unit / population • exclusions • rationale</w:t>
      </w:r>
    </w:p>
    <w:sdt>
      <w:sdtPr>
        <w:alias w:val="Analysis unit / population • exclusions • rationale"/>
        <w:tag w:val="field-f44a5c5e6fc9"/>
        <w:id w:val="306322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Exposure event • overlap controls • implementation owner</w:t>
      </w:r>
    </w:p>
    <w:sdt>
      <w:sdtPr>
        <w:alias w:val="Exposure event • overlap controls • implementation owner"/>
        <w:tag w:val="field-16469ed973df"/>
        <w:id w:val="24436961"/>
      </w:sdtPr>
      <w:sdtContent>
        <w:p>
          <w:pPr>
            <w:pStyle w:val="Entry"/>
            <w:pBdr>
              <w:bottom w:val="single" w:sz="4" w:color="D4D4D8" w:space="1"/>
            </w:pBdr>
          </w:pPr>
          <w:r>
            <w:rPr>
              <w:rFonts w:ascii="Inter" w:hAnsi="Inter" w:eastAsia="Inter" w:cs="Inter"/>
              <w:color w:val="18181B"/>
            </w:rPr>
            <w:t xml:space="preserve"> </w:t>
          </w:r>
        </w:p>
      </w:sdtContent>
    </w:sdt>
    <w:p>
      <w:pPr>
        <w:pStyle w:val="Eyebrow"/>
        <w:pageBreakBefore/>
      </w:pPr>
      <w:r>
        <w:rPr>
          <w:rFonts w:ascii="Inter" w:hAnsi="Inter" w:eastAsia="Inter" w:cs="Inter"/>
          <w:b w:val="0"/>
          <w:color w:val="18181B"/>
        </w:rPr>
        <w:t>03 / Experiment design and decision</w:t>
      </w:r>
    </w:p>
    <w:p>
      <w:pPr>
        <w:pStyle w:val="Heading1"/>
      </w:pPr>
      <w:r>
        <w:t>Specify the measurement contract</w:t>
      </w:r>
    </w:p>
    <w:p>
      <w:pPr>
        <w:pStyle w:val="Deck"/>
      </w:pPr>
      <w:r>
        <w:rPr>
          <w:rFonts w:ascii="Inter" w:hAnsi="Inter" w:eastAsia="Inter" w:cs="Inter"/>
          <w:b w:val="0"/>
          <w:color w:val="18181B"/>
        </w:rPr>
        <w:t>Give every metric a reproducible definition and a responsible owner.</w:t>
      </w:r>
    </w:p>
    <w:p>
      <w:pPr>
        <w:pStyle w:val="Heading2"/>
      </w:pPr>
      <w:r>
        <w:t>Define the primary outcome</w:t>
      </w:r>
    </w:p>
    <w:p>
      <w:r>
        <w:rPr>
          <w:rFonts w:ascii="Inter" w:hAnsi="Inter" w:eastAsia="Inter" w:cs="Inter"/>
          <w:b w:val="0"/>
          <w:color w:val="18181B"/>
        </w:rPr>
        <w:t>Name the qualifying conversion event and the population in its denominator. State whether each unit can convert once or multiple times, how duplicates are handled and the time allowed for an outcome after assignment or exposure. Use the same rule in every variant.</w:t>
      </w:r>
    </w:p>
    <w:p>
      <w:r>
        <w:rPr>
          <w:rFonts w:ascii="Inter" w:hAnsi="Inter" w:eastAsia="Inter" w:cs="Inter"/>
          <w:b w:val="0"/>
          <w:color w:val="18181B"/>
        </w:rPr>
        <w:t>For a binary conversion rate, report qualifying converted units divided by eligible analyzed units. Do not substitute event counts for unique converted units. Record the outcome’s observation window so that late-arriving conversions are not unevenly omitted near the end of the experiment.</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Metric role</w:t>
            </w:r>
          </w:p>
        </w:tc>
        <w:tc>
          <w:tcPr>
            <w:tcW w:type="dxa" w:w="7632"/>
            <w:vAlign w:val="center"/>
            <w:shd w:fill="F4F4F5"/>
          </w:tcPr>
          <w:p>
            <w:pPr>
              <w:pStyle w:val="Tablecopy"/>
            </w:pPr>
            <w:r/>
            <w:r>
              <w:rPr>
                <w:rFonts w:ascii="Inter" w:hAnsi="Inter" w:eastAsia="Inter" w:cs="Inter"/>
                <w:b/>
                <w:color w:val="18181B"/>
                <w:sz w:val="21"/>
              </w:rPr>
              <w:t>Definition to record</w:t>
            </w:r>
          </w:p>
        </w:tc>
      </w:tr>
      <w:tr>
        <w:trPr>
          <w:cantSplit/>
        </w:trPr>
        <w:tc>
          <w:tcPr>
            <w:tcW w:type="dxa" w:w="2304"/>
            <w:vAlign w:val="center"/>
          </w:tcPr>
          <w:p>
            <w:pPr>
              <w:pStyle w:val="Tablecopy"/>
            </w:pPr>
            <w:r/>
            <w:r>
              <w:rPr>
                <w:rFonts w:ascii="Inter" w:hAnsi="Inter" w:eastAsia="Inter" w:cs="Inter"/>
                <w:b w:val="0"/>
                <w:color w:val="18181B"/>
                <w:sz w:val="21"/>
              </w:rPr>
              <w:t>Primary</w:t>
            </w:r>
          </w:p>
        </w:tc>
        <w:tc>
          <w:tcPr>
            <w:tcW w:type="dxa" w:w="7632"/>
            <w:vAlign w:val="center"/>
          </w:tcPr>
          <w:p>
            <w:pPr>
              <w:pStyle w:val="Tablecopy"/>
            </w:pPr>
            <w:r/>
            <w:r>
              <w:rPr>
                <w:rFonts w:ascii="Inter" w:hAnsi="Inter" w:eastAsia="Inter" w:cs="Inter"/>
                <w:b w:val="0"/>
                <w:color w:val="18181B"/>
                <w:sz w:val="21"/>
              </w:rPr>
              <w:t>Outcome, numerator, denominator, observation window and minimum worthwhile effect.</w:t>
            </w:r>
          </w:p>
        </w:tc>
      </w:tr>
      <w:tr>
        <w:trPr>
          <w:cantSplit/>
        </w:trPr>
        <w:tc>
          <w:tcPr>
            <w:tcW w:type="dxa" w:w="2304"/>
            <w:vAlign w:val="center"/>
          </w:tcPr>
          <w:p>
            <w:pPr>
              <w:pStyle w:val="Tablecopy"/>
            </w:pPr>
            <w:r/>
            <w:r>
              <w:rPr>
                <w:rFonts w:ascii="Inter" w:hAnsi="Inter" w:eastAsia="Inter" w:cs="Inter"/>
                <w:b w:val="0"/>
                <w:color w:val="18181B"/>
                <w:sz w:val="21"/>
              </w:rPr>
              <w:t>Guardrail</w:t>
            </w:r>
          </w:p>
        </w:tc>
        <w:tc>
          <w:tcPr>
            <w:tcW w:type="dxa" w:w="7632"/>
            <w:vAlign w:val="center"/>
          </w:tcPr>
          <w:p>
            <w:pPr>
              <w:pStyle w:val="Tablecopy"/>
            </w:pPr>
            <w:r/>
            <w:r>
              <w:rPr>
                <w:rFonts w:ascii="Inter" w:hAnsi="Inter" w:eastAsia="Inter" w:cs="Inter"/>
                <w:b w:val="0"/>
                <w:color w:val="18181B"/>
                <w:sz w:val="21"/>
              </w:rPr>
              <w:t>Customer, operational or commercial harm measure, acceptable boundary and response owner.</w:t>
            </w:r>
          </w:p>
        </w:tc>
      </w:tr>
      <w:tr>
        <w:trPr>
          <w:cantSplit/>
        </w:trPr>
        <w:tc>
          <w:tcPr>
            <w:tcW w:type="dxa" w:w="2304"/>
            <w:vAlign w:val="center"/>
          </w:tcPr>
          <w:p>
            <w:pPr>
              <w:pStyle w:val="Tablecopy"/>
            </w:pPr>
            <w:r/>
            <w:r>
              <w:rPr>
                <w:rFonts w:ascii="Inter" w:hAnsi="Inter" w:eastAsia="Inter" w:cs="Inter"/>
                <w:b w:val="0"/>
                <w:color w:val="18181B"/>
                <w:sz w:val="21"/>
              </w:rPr>
              <w:t>Diagnostic</w:t>
            </w:r>
          </w:p>
        </w:tc>
        <w:tc>
          <w:tcPr>
            <w:tcW w:type="dxa" w:w="7632"/>
            <w:vAlign w:val="center"/>
          </w:tcPr>
          <w:p>
            <w:pPr>
              <w:pStyle w:val="Tablecopy"/>
            </w:pPr>
            <w:r/>
            <w:r>
              <w:rPr>
                <w:rFonts w:ascii="Inter" w:hAnsi="Inter" w:eastAsia="Inter" w:cs="Inter"/>
                <w:b w:val="0"/>
                <w:color w:val="18181B"/>
                <w:sz w:val="21"/>
              </w:rPr>
              <w:t>Mechanism or journey measure used to explain the result; whether it can affect the decision.</w:t>
            </w:r>
          </w:p>
        </w:tc>
      </w:tr>
      <w:tr>
        <w:trPr>
          <w:cantSplit/>
        </w:trPr>
        <w:tc>
          <w:tcPr>
            <w:tcW w:type="dxa" w:w="2304"/>
            <w:vAlign w:val="center"/>
          </w:tcPr>
          <w:p>
            <w:pPr>
              <w:pStyle w:val="Tablecopy"/>
            </w:pPr>
            <w:r/>
            <w:r>
              <w:rPr>
                <w:rFonts w:ascii="Inter" w:hAnsi="Inter" w:eastAsia="Inter" w:cs="Inter"/>
                <w:b w:val="0"/>
                <w:color w:val="18181B"/>
                <w:sz w:val="21"/>
              </w:rPr>
              <w:t>Data quality</w:t>
            </w:r>
          </w:p>
        </w:tc>
        <w:tc>
          <w:tcPr>
            <w:tcW w:type="dxa" w:w="7632"/>
            <w:vAlign w:val="center"/>
          </w:tcPr>
          <w:p>
            <w:pPr>
              <w:pStyle w:val="Tablecopy"/>
            </w:pPr>
            <w:r/>
            <w:r>
              <w:rPr>
                <w:rFonts w:ascii="Inter" w:hAnsi="Inter" w:eastAsia="Inter" w:cs="Inter"/>
                <w:b w:val="0"/>
                <w:color w:val="18181B"/>
                <w:sz w:val="21"/>
              </w:rPr>
              <w:t>Assignment counts, exposure coverage, event loss, duplicates and joins needed to trust the analysis.</w:t>
            </w:r>
          </w:p>
        </w:tc>
      </w:tr>
    </w:tbl>
    <w:p>
      <w:pPr>
        <w:pStyle w:val="Tablegap"/>
      </w:pPr>
    </w:p>
    <w:p>
      <w:pPr>
        <w:pStyle w:val="Heading2"/>
      </w:pPr>
      <w:r>
        <w:t>Verify the measurement path</w:t>
      </w:r>
    </w:p>
    <w:p>
      <w:r>
        <w:rPr>
          <w:rFonts w:ascii="Inter" w:hAnsi="Inter" w:eastAsia="Inter" w:cs="Inter"/>
          <w:b w:val="0"/>
          <w:color w:val="18181B"/>
        </w:rPr>
        <w:t>Trace assignment through exposure to the final outcome. Check event schemas, time zones, identifiers and joins. Confirm that an interface change does not silently change what the event means. Exercise success, failure, refresh, repeat submission and delayed processing before launch.</w:t>
      </w:r>
    </w:p>
    <w:p>
      <w:pPr>
        <w:pStyle w:val="Fieldlabel"/>
      </w:pPr>
      <w:r>
        <w:rPr>
          <w:rFonts w:ascii="Inter" w:hAnsi="Inter" w:eastAsia="Inter" w:cs="Inter"/>
          <w:b/>
          <w:color w:val="18181B"/>
        </w:rPr>
        <w:t>Primary outcome • numerator / denominator • outcome window</w:t>
      </w:r>
    </w:p>
    <w:sdt>
      <w:sdtPr>
        <w:alias w:val="Primary outcome • numerator / denominator • outcome window"/>
        <w:tag w:val="field-0072e75cdca7"/>
        <w:id w:val="6776582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Guardrails • decision boundaries • metric owners</w:t>
      </w:r>
    </w:p>
    <w:sdt>
      <w:sdtPr>
        <w:alias w:val="Guardrails • decision boundaries • metric owners"/>
        <w:tag w:val="field-c5fd992b0aef"/>
        <w:id w:val="206979847"/>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Data source • query or analysis version • quality checks</w:t>
      </w:r>
    </w:p>
    <w:sdt>
      <w:sdtPr>
        <w:alias w:val="Data source • query or analysis version • quality checks"/>
        <w:tag w:val="field-c56d61618634"/>
        <w:id w:val="18567411"/>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Save the agreed definitions with the experiment. A dashboard label is insufficient if the underlying event, query or exclusion rule can change unnoticed.</w:t>
      </w:r>
    </w:p>
    <w:p>
      <w:pPr>
        <w:pStyle w:val="Eyebrow"/>
        <w:pageBreakBefore/>
      </w:pPr>
      <w:r>
        <w:rPr>
          <w:rFonts w:ascii="Inter" w:hAnsi="Inter" w:eastAsia="Inter" w:cs="Inter"/>
          <w:b w:val="0"/>
          <w:color w:val="18181B"/>
        </w:rPr>
        <w:t>04 / Experiment design and decision</w:t>
      </w:r>
    </w:p>
    <w:p>
      <w:pPr>
        <w:pStyle w:val="Heading1"/>
      </w:pPr>
      <w:r>
        <w:t>Agree the statistical and stopping plan</w:t>
      </w:r>
    </w:p>
    <w:p>
      <w:pPr>
        <w:pStyle w:val="Deck"/>
      </w:pPr>
      <w:r>
        <w:rPr>
          <w:rFonts w:ascii="Inter" w:hAnsi="Inter" w:eastAsia="Inter" w:cs="Inter"/>
          <w:b w:val="0"/>
          <w:color w:val="18181B"/>
        </w:rPr>
        <w:t>Choose a method that matches the decision and the way the experiment will be monitored.</w:t>
      </w:r>
    </w:p>
    <w:p>
      <w:pPr>
        <w:pStyle w:val="Heading2"/>
      </w:pPr>
      <w:r>
        <w:t>Establish whether the test can answer the question</w:t>
      </w:r>
    </w:p>
    <w:p>
      <w:r>
        <w:rPr>
          <w:rFonts w:ascii="Inter" w:hAnsi="Inter" w:eastAsia="Inter" w:cs="Inter"/>
          <w:b w:val="0"/>
          <w:color w:val="18181B"/>
        </w:rPr>
        <w:t>Use a justified baseline, the minimum effect worth acting on, the planned allocation and an appropriate uncertainty model to plan the required information. Record statistical power and error-rate choices where the method uses them. Account for clustering, repeated outcomes and expected data loss when relevant.</w:t>
      </w:r>
    </w:p>
    <w:p>
      <w:r>
        <w:rPr>
          <w:rFonts w:ascii="Inter" w:hAnsi="Inter" w:eastAsia="Inter" w:cs="Inter"/>
          <w:b w:val="0"/>
          <w:color w:val="18181B"/>
        </w:rPr>
        <w:t>Translate the information requirement into an operating duration using eligible traffic and outcome delay. Cover meaningful business cycles and allow outcomes to mature. If the planned test cannot distinguish useful improvement from material harm, narrow the decision, revise the design or choose another form of evidence.</w:t>
      </w:r>
    </w:p>
    <w:p>
      <w:pPr>
        <w:pStyle w:val="Heading2"/>
      </w:pPr>
      <w:r>
        <w:t>Choose the review rule before launch</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304"/>
        <w:gridCol w:w="7632"/>
      </w:tblGrid>
      <w:tr>
        <w:trPr>
          <w:cantSplit/>
          <w:tblHeader/>
        </w:trPr>
        <w:tc>
          <w:tcPr>
            <w:tcW w:type="dxa" w:w="2304"/>
            <w:vAlign w:val="center"/>
            <w:shd w:fill="F4F4F5"/>
          </w:tcPr>
          <w:p>
            <w:pPr>
              <w:pStyle w:val="Tablecopy"/>
            </w:pPr>
            <w:r/>
            <w:r>
              <w:rPr>
                <w:rFonts w:ascii="Inter" w:hAnsi="Inter" w:eastAsia="Inter" w:cs="Inter"/>
                <w:b/>
                <w:color w:val="18181B"/>
                <w:sz w:val="21"/>
              </w:rPr>
              <w:t>Analysis approach</w:t>
            </w:r>
          </w:p>
        </w:tc>
        <w:tc>
          <w:tcPr>
            <w:tcW w:type="dxa" w:w="7632"/>
            <w:vAlign w:val="center"/>
            <w:shd w:fill="F4F4F5"/>
          </w:tcPr>
          <w:p>
            <w:pPr>
              <w:pStyle w:val="Tablecopy"/>
            </w:pPr>
            <w:r/>
            <w:r>
              <w:rPr>
                <w:rFonts w:ascii="Inter" w:hAnsi="Inter" w:eastAsia="Inter" w:cs="Inter"/>
                <w:b/>
                <w:color w:val="18181B"/>
                <w:sz w:val="21"/>
              </w:rPr>
              <w:t>Operating implication</w:t>
            </w:r>
          </w:p>
        </w:tc>
      </w:tr>
      <w:tr>
        <w:trPr>
          <w:cantSplit/>
        </w:trPr>
        <w:tc>
          <w:tcPr>
            <w:tcW w:type="dxa" w:w="2304"/>
            <w:vAlign w:val="center"/>
          </w:tcPr>
          <w:p>
            <w:pPr>
              <w:pStyle w:val="Tablecopy"/>
            </w:pPr>
            <w:r/>
            <w:r>
              <w:rPr>
                <w:rFonts w:ascii="Inter" w:hAnsi="Inter" w:eastAsia="Inter" w:cs="Inter"/>
                <w:b w:val="0"/>
                <w:color w:val="18181B"/>
                <w:sz w:val="21"/>
              </w:rPr>
              <w:t>Fixed horizon</w:t>
            </w:r>
          </w:p>
        </w:tc>
        <w:tc>
          <w:tcPr>
            <w:tcW w:type="dxa" w:w="7632"/>
            <w:vAlign w:val="center"/>
          </w:tcPr>
          <w:p>
            <w:pPr>
              <w:pStyle w:val="Tablecopy"/>
            </w:pPr>
            <w:r/>
            <w:r>
              <w:rPr>
                <w:rFonts w:ascii="Inter" w:hAnsi="Inter" w:eastAsia="Inter" w:cs="Inter"/>
                <w:b w:val="0"/>
                <w:color w:val="18181B"/>
                <w:sz w:val="21"/>
              </w:rPr>
              <w:t>Evaluate the planned inferential result at the agreed endpoint. Repeated significance checks followed by early stopping require a different statistical treatment.</w:t>
            </w:r>
          </w:p>
        </w:tc>
      </w:tr>
      <w:tr>
        <w:trPr>
          <w:cantSplit/>
        </w:trPr>
        <w:tc>
          <w:tcPr>
            <w:tcW w:type="dxa" w:w="2304"/>
            <w:vAlign w:val="center"/>
          </w:tcPr>
          <w:p>
            <w:pPr>
              <w:pStyle w:val="Tablecopy"/>
            </w:pPr>
            <w:r/>
            <w:r>
              <w:rPr>
                <w:rFonts w:ascii="Inter" w:hAnsi="Inter" w:eastAsia="Inter" w:cs="Inter"/>
                <w:b w:val="0"/>
                <w:color w:val="18181B"/>
                <w:sz w:val="21"/>
              </w:rPr>
              <w:t>Sequential</w:t>
            </w:r>
          </w:p>
        </w:tc>
        <w:tc>
          <w:tcPr>
            <w:tcW w:type="dxa" w:w="7632"/>
            <w:vAlign w:val="center"/>
          </w:tcPr>
          <w:p>
            <w:pPr>
              <w:pStyle w:val="Tablecopy"/>
            </w:pPr>
            <w:r/>
            <w:r>
              <w:rPr>
                <w:rFonts w:ascii="Inter" w:hAnsi="Inter" w:eastAsia="Inter" w:cs="Inter"/>
                <w:b w:val="0"/>
                <w:color w:val="18181B"/>
                <w:sz w:val="21"/>
              </w:rPr>
              <w:t>Use a specified sequential method with its monitoring schedule and boundaries. Ordinary fixed-horizon intervals do not automatically become valid through continuous monitoring.</w:t>
            </w:r>
          </w:p>
        </w:tc>
      </w:tr>
      <w:tr>
        <w:trPr>
          <w:cantSplit/>
        </w:trPr>
        <w:tc>
          <w:tcPr>
            <w:tcW w:type="dxa" w:w="2304"/>
            <w:vAlign w:val="center"/>
          </w:tcPr>
          <w:p>
            <w:pPr>
              <w:pStyle w:val="Tablecopy"/>
            </w:pPr>
            <w:r/>
            <w:r>
              <w:rPr>
                <w:rFonts w:ascii="Inter" w:hAnsi="Inter" w:eastAsia="Inter" w:cs="Inter"/>
                <w:b w:val="0"/>
                <w:color w:val="18181B"/>
                <w:sz w:val="21"/>
              </w:rPr>
              <w:t>Safety monitoring</w:t>
            </w:r>
          </w:p>
        </w:tc>
        <w:tc>
          <w:tcPr>
            <w:tcW w:type="dxa" w:w="7632"/>
            <w:vAlign w:val="center"/>
          </w:tcPr>
          <w:p>
            <w:pPr>
              <w:pStyle w:val="Tablecopy"/>
            </w:pPr>
            <w:r/>
            <w:r>
              <w:rPr>
                <w:rFonts w:ascii="Inter" w:hAnsi="Inter" w:eastAsia="Inter" w:cs="Inter"/>
                <w:b w:val="0"/>
                <w:color w:val="18181B"/>
                <w:sz w:val="21"/>
              </w:rPr>
              <w:t>Monitor harm and technical integrity throughout. A safety stop protects users; it does not by itself establish the primary effectiveness conclusion.</w:t>
            </w:r>
          </w:p>
        </w:tc>
      </w:tr>
    </w:tbl>
    <w:p>
      <w:pPr>
        <w:pStyle w:val="Tablegap"/>
      </w:pPr>
    </w:p>
    <w:p>
      <w:pPr>
        <w:pStyle w:val="Heading2"/>
      </w:pPr>
      <w:r>
        <w:t>Control the number of claims</w:t>
      </w:r>
    </w:p>
    <w:p>
      <w:r>
        <w:rPr>
          <w:rFonts w:ascii="Inter" w:hAnsi="Inter" w:eastAsia="Inter" w:cs="Inter"/>
          <w:b w:val="0"/>
          <w:color w:val="18181B"/>
        </w:rPr>
        <w:t>Predefine the primary comparison and how multiple variants, primary outcomes or planned subgroup claims will be handled. Treat unplanned segment findings as exploratory until tested appropriately. Do not keep changing segments or endpoints until a favorable result appears.</w:t>
      </w:r>
    </w:p>
    <w:p>
      <w:pPr>
        <w:pStyle w:val="Fieldlabel"/>
      </w:pPr>
      <w:r>
        <w:rPr>
          <w:rFonts w:ascii="Inter" w:hAnsi="Inter" w:eastAsia="Inter" w:cs="Inter"/>
          <w:b/>
          <w:color w:val="18181B"/>
        </w:rPr>
        <w:t>Analysis method • baseline provenance • minimum useful effect</w:t>
      </w:r>
    </w:p>
    <w:sdt>
      <w:sdtPr>
        <w:alias w:val="Analysis method • baseline provenance • minimum useful effect"/>
        <w:tag w:val="field-1f6119b40de4"/>
        <w:id w:val="179988315"/>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Information target • duration / maturation rule • analyst approval</w:t>
      </w:r>
    </w:p>
    <w:sdt>
      <w:sdtPr>
        <w:alias w:val="Information target • duration / maturation rule • analyst approval"/>
        <w:tag w:val="field-2b7f596a2a8c"/>
        <w:id w:val="234686570"/>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Multiplicity treatment • planned segments • stopping rule</w:t>
      </w:r>
    </w:p>
    <w:sdt>
      <w:sdtPr>
        <w:alias w:val="Multiplicity treatment • planned segments • stopping rule"/>
        <w:tag w:val="field-910fc9cb1e7c"/>
        <w:id w:val="99467986"/>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Document the method and parameters used to calculate the plan. This brief does not prescribe a universal sample size or significance threshold.</w:t>
      </w:r>
    </w:p>
    <w:p>
      <w:pPr>
        <w:pStyle w:val="Eyebrow"/>
        <w:pageBreakBefore/>
      </w:pPr>
      <w:r>
        <w:rPr>
          <w:rFonts w:ascii="Inter" w:hAnsi="Inter" w:eastAsia="Inter" w:cs="Inter"/>
          <w:b w:val="0"/>
          <w:color w:val="18181B"/>
        </w:rPr>
        <w:t>05 / Experiment design and decision</w:t>
      </w:r>
    </w:p>
    <w:p>
      <w:pPr>
        <w:pStyle w:val="Heading1"/>
      </w:pPr>
      <w:r>
        <w:t>Operate the experiment with validity controls</w:t>
      </w:r>
    </w:p>
    <w:p>
      <w:pPr>
        <w:pStyle w:val="Deck"/>
      </w:pPr>
      <w:r>
        <w:rPr>
          <w:rFonts w:ascii="Inter" w:hAnsi="Inter" w:eastAsia="Inter" w:cs="Inter"/>
          <w:b w:val="0"/>
          <w:color w:val="18181B"/>
        </w:rPr>
        <w:t>Protect users and investigate data faults before reading the business result.</w:t>
      </w:r>
    </w:p>
    <w:p>
      <w:pPr>
        <w:pStyle w:val="Step"/>
      </w:pPr>
      <w:r>
        <w:rPr>
          <w:rFonts w:ascii="Inter" w:hAnsi="Inter" w:eastAsia="Inter" w:cs="Inter"/>
          <w:b/>
          <w:color w:val="18181B"/>
        </w:rPr>
        <w:t>Before exposure</w:t>
      </w:r>
    </w:p>
    <w:p>
      <w:r>
        <w:rPr>
          <w:rFonts w:ascii="Inter" w:hAnsi="Inter" w:eastAsia="Inter" w:cs="Inter"/>
          <w:b w:val="0"/>
          <w:color w:val="18181B"/>
        </w:rPr>
        <w:t>Review variant behavior, accessibility, eligibility, assignment persistence, event capture and rollback. Confirm metric definitions and decision rules are fixed. Record the deployed version and the person authorized to stop exposure.</w:t>
      </w:r>
    </w:p>
    <w:p>
      <w:pPr>
        <w:pStyle w:val="Step"/>
      </w:pPr>
      <w:r>
        <w:rPr>
          <w:rFonts w:ascii="Inter" w:hAnsi="Inter" w:eastAsia="Inter" w:cs="Inter"/>
          <w:b/>
          <w:color w:val="18181B"/>
        </w:rPr>
        <w:t>During exposure</w:t>
      </w:r>
    </w:p>
    <w:p>
      <w:r>
        <w:rPr>
          <w:rFonts w:ascii="Inter" w:hAnsi="Inter" w:eastAsia="Inter" w:cs="Inter"/>
          <w:b w:val="0"/>
          <w:color w:val="18181B"/>
        </w:rPr>
        <w:t>Monitor technical harm and data quality on the agreed schedule. Check that observed assignment counts are consistent with the configured allocation using the planned sample-ratio check. Investigate logging, eligibility, filtering or joining changes when the check signals a problem.</w:t>
      </w:r>
    </w:p>
    <w:p>
      <w:pPr>
        <w:pStyle w:val="Step"/>
      </w:pPr>
      <w:r>
        <w:rPr>
          <w:rFonts w:ascii="Inter" w:hAnsi="Inter" w:eastAsia="Inter" w:cs="Inter"/>
          <w:b/>
          <w:color w:val="18181B"/>
        </w:rPr>
        <w:t>When an anomaly appears</w:t>
      </w:r>
    </w:p>
    <w:p>
      <w:r>
        <w:rPr>
          <w:rFonts w:ascii="Inter" w:hAnsi="Inter" w:eastAsia="Inter" w:cs="Inter"/>
          <w:b w:val="0"/>
          <w:color w:val="18181B"/>
        </w:rPr>
        <w:t>Record the time, affected variants and possible mechanism. Decide whether to pause exposure, correct the implementation or abandon the run. Do not silently discard unfavorable periods or reweight missing observations until the source and statistical consequences are understood.</w:t>
      </w:r>
    </w:p>
    <w:p>
      <w:pPr>
        <w:pStyle w:val="Step"/>
      </w:pPr>
      <w:r>
        <w:rPr>
          <w:rFonts w:ascii="Inter" w:hAnsi="Inter" w:eastAsia="Inter" w:cs="Inter"/>
          <w:b/>
          <w:color w:val="18181B"/>
        </w:rPr>
        <w:t>At the planned endpoint</w:t>
      </w:r>
    </w:p>
    <w:p>
      <w:r>
        <w:rPr>
          <w:rFonts w:ascii="Inter" w:hAnsi="Inter" w:eastAsia="Inter" w:cs="Inter"/>
          <w:b w:val="0"/>
          <w:color w:val="18181B"/>
        </w:rPr>
        <w:t>Stop or freeze the agreed exposure, allow the outcome window to mature and preserve the analysis data and code version. Document deviations, outages and concurrent changes. Confirm validity before interpreting conversion movement.</w:t>
      </w:r>
    </w:p>
    <w:p>
      <w:pPr>
        <w:pStyle w:val="Heading2"/>
      </w:pPr>
      <w:r>
        <w:t>Launch and incident record</w:t>
      </w:r>
    </w:p>
    <w:p>
      <w:pPr>
        <w:pStyle w:val="Fieldlabel"/>
      </w:pPr>
      <w:r>
        <w:rPr>
          <w:rFonts w:ascii="Inter" w:hAnsi="Inter" w:eastAsia="Inter" w:cs="Inter"/>
          <w:b/>
          <w:color w:val="18181B"/>
        </w:rPr>
        <w:t>Launch approval • build / configuration • start time / zone</w:t>
      </w:r>
    </w:p>
    <w:sdt>
      <w:sdtPr>
        <w:alias w:val="Launch approval • build / configuration • start time / zone"/>
        <w:tag w:val="field-1a12b2a70b12"/>
        <w:id w:val="124706218"/>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Monitoring owner • halt authority • recovery route</w:t>
      </w:r>
    </w:p>
    <w:sdt>
      <w:sdtPr>
        <w:alias w:val="Monitoring owner • halt authority • recovery route"/>
        <w:tag w:val="field-f21336cc9969"/>
        <w:id w:val="9955422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Deviation or incident • affected period • handling decision</w:t>
      </w:r>
    </w:p>
    <w:sdt>
      <w:sdtPr>
        <w:alias w:val="Deviation or incident • affected period • handling decision"/>
        <w:tag w:val="field-5c47bf3530d9"/>
        <w:id w:val="110517776"/>
      </w:sdtPr>
      <w:sdtContent>
        <w:p>
          <w:pPr>
            <w:pStyle w:val="Entry"/>
            <w:pBdr>
              <w:bottom w:val="single" w:sz="4" w:color="D4D4D8" w:space="1"/>
            </w:pBdr>
          </w:pPr>
          <w:r>
            <w:rPr>
              <w:rFonts w:ascii="Inter" w:hAnsi="Inter" w:eastAsia="Inter" w:cs="Inter"/>
              <w:color w:val="18181B"/>
            </w:rPr>
            <w:t xml:space="preserve"> </w:t>
          </w:r>
        </w:p>
      </w:sdtContent>
    </w:sdt>
    <w:p>
      <w:pPr>
        <w:pStyle w:val="Heading2"/>
      </w:pPr>
      <w:r>
        <w:t>Validity gate</w:t>
      </w:r>
    </w:p>
    <w:p>
      <w:pPr>
        <w:pStyle w:val="Checklist"/>
        <w:ind w:left="173" w:hanging="173"/>
      </w:pPr>
      <w:r>
        <w:rPr>
          <w:rFonts w:ascii="Inter" w:hAnsi="Inter" w:eastAsia="Inter" w:cs="Inter"/>
          <w:b w:val="0"/>
          <w:color w:val="18181B"/>
        </w:rPr>
        <w:t>□  Assignment and exposure behaved as designed; allocation anomalies are explained.</w:t>
      </w:r>
    </w:p>
    <w:p>
      <w:pPr>
        <w:pStyle w:val="Checklist"/>
        <w:ind w:left="173" w:hanging="173"/>
      </w:pPr>
      <w:r>
        <w:rPr>
          <w:rFonts w:ascii="Inter" w:hAnsi="Inter" w:eastAsia="Inter" w:cs="Inter"/>
          <w:b w:val="0"/>
          <w:color w:val="18181B"/>
        </w:rPr>
        <w:t>□  Events and joins have comparable coverage across variants.</w:t>
      </w:r>
    </w:p>
    <w:p>
      <w:pPr>
        <w:pStyle w:val="Checklist"/>
        <w:ind w:left="173" w:hanging="173"/>
      </w:pPr>
      <w:r>
        <w:rPr>
          <w:rFonts w:ascii="Inter" w:hAnsi="Inter" w:eastAsia="Inter" w:cs="Inter"/>
          <w:b w:val="0"/>
          <w:color w:val="18181B"/>
        </w:rPr>
        <w:t>□  The agreed outcome window and exclusions were applied consistently.</w:t>
      </w:r>
    </w:p>
    <w:p>
      <w:pPr>
        <w:pStyle w:val="Checklist"/>
        <w:ind w:left="173" w:hanging="173"/>
      </w:pPr>
      <w:r>
        <w:rPr>
          <w:rFonts w:ascii="Inter" w:hAnsi="Inter" w:eastAsia="Inter" w:cs="Inter"/>
          <w:b w:val="0"/>
          <w:color w:val="18181B"/>
        </w:rPr>
        <w:t>□  Deviations and unresolved quality issues are visible to the decision owner.</w:t>
      </w:r>
    </w:p>
    <w:p>
      <w:pPr>
        <w:pStyle w:val="Small"/>
      </w:pPr>
      <w:r>
        <w:rPr>
          <w:rFonts w:ascii="Inter" w:hAnsi="Inter" w:eastAsia="Inter" w:cs="Inter"/>
          <w:b w:val="0"/>
          <w:color w:val="18181B"/>
        </w:rPr>
        <w:t>A statistically convincing result from an invalid comparison is not evidence for rollout. Resolve the fault or repeat the experiment with a sound design.</w:t>
      </w:r>
    </w:p>
    <w:p>
      <w:pPr>
        <w:pStyle w:val="Eyebrow"/>
        <w:pageBreakBefore/>
      </w:pPr>
      <w:r>
        <w:rPr>
          <w:rFonts w:ascii="Inter" w:hAnsi="Inter" w:eastAsia="Inter" w:cs="Inter"/>
          <w:b w:val="0"/>
          <w:color w:val="18181B"/>
        </w:rPr>
        <w:t>06 / Experiment design and decision</w:t>
      </w:r>
    </w:p>
    <w:p>
      <w:pPr>
        <w:pStyle w:val="Heading1"/>
      </w:pPr>
      <w:r>
        <w:t>Record the result and the business decision</w:t>
      </w:r>
    </w:p>
    <w:p>
      <w:pPr>
        <w:pStyle w:val="Deck"/>
      </w:pPr>
      <w:r>
        <w:rPr>
          <w:rFonts w:ascii="Inter" w:hAnsi="Inter" w:eastAsia="Inter" w:cs="Inter"/>
          <w:b w:val="0"/>
          <w:color w:val="18181B"/>
        </w:rPr>
        <w:t>Report effect, uncertainty and consequences together.</w:t>
      </w:r>
    </w:p>
    <w:p>
      <w:pPr>
        <w:pStyle w:val="Heading2"/>
      </w:pPr>
      <w:r>
        <w:t>Make the comparison readable</w:t>
      </w:r>
    </w:p>
    <w:p>
      <w:r>
        <w:rPr>
          <w:rFonts w:ascii="Inter" w:hAnsi="Inter" w:eastAsia="Inter" w:cs="Inter"/>
          <w:b w:val="0"/>
          <w:color w:val="18181B"/>
        </w:rPr>
        <w:t>Report the analyzed units and qualifying conversions for each variant, the conversion rates and the effect with its uncertainty interval. Name the analysis method and population. Show guardrails alongside the primary metric, including incomplete or immature outcomes.</w:t>
      </w:r>
    </w:p>
    <w:p>
      <w:r>
        <w:rPr>
          <w:rFonts w:ascii="Inter" w:hAnsi="Inter" w:eastAsia="Inter" w:cs="Inter"/>
          <w:b w:val="0"/>
          <w:color w:val="18181B"/>
        </w:rPr>
        <w:t>Distinguish absolute rate change from relative change. Absolute change is the treatment rate minus the control rate, expressed in percentage points when rates are percentages. Relative change divides that difference by the control rate and is undefined when the control rate is zero.</w:t>
      </w:r>
    </w:p>
    <w:tbl>
      <w:tblPr>
        <w:tblW w:type="auto" w:w="0"/>
        <w:jc w:val="center"/>
        <w:tblLayout w:type="fixed"/>
        <w:tblLook w:firstColumn="1" w:firstRow="1" w:lastColumn="0" w:lastRow="0" w:noHBand="0" w:noVBand="1" w:val="04A0"/>
        <w:tblBorders>
          <w:top w:val="single" w:sz="4" w:color="D4D4D8"/>
          <w:left w:val="single" w:sz="4" w:color="D4D4D8"/>
          <w:bottom w:val="single" w:sz="4" w:color="D4D4D8"/>
          <w:right w:val="single" w:sz="4" w:color="D4D4D8"/>
          <w:insideH w:val="single" w:sz="4" w:color="D4D4D8"/>
          <w:insideV w:val="single" w:sz="4" w:color="D4D4D8"/>
        </w:tblBorders>
        <w:tblCellMar>
          <w:top w:w="100" w:type="dxa"/>
          <w:bottom w:w="100" w:type="dxa"/>
          <w:left w:w="115" w:type="dxa"/>
          <w:right w:w="115" w:type="dxa"/>
        </w:tblCellMar>
      </w:tblPr>
      <w:tblGrid>
        <w:gridCol w:w="2592"/>
        <w:gridCol w:w="7344"/>
      </w:tblGrid>
      <w:tr>
        <w:trPr>
          <w:cantSplit/>
          <w:tblHeader/>
        </w:trPr>
        <w:tc>
          <w:tcPr>
            <w:tcW w:type="dxa" w:w="2592"/>
            <w:vAlign w:val="center"/>
            <w:shd w:fill="F4F4F5"/>
          </w:tcPr>
          <w:p>
            <w:pPr>
              <w:pStyle w:val="Tablecopy"/>
            </w:pPr>
            <w:r/>
            <w:r>
              <w:rPr>
                <w:rFonts w:ascii="Inter" w:hAnsi="Inter" w:eastAsia="Inter" w:cs="Inter"/>
                <w:b/>
                <w:color w:val="18181B"/>
                <w:sz w:val="21"/>
              </w:rPr>
              <w:t>Result pattern</w:t>
            </w:r>
          </w:p>
        </w:tc>
        <w:tc>
          <w:tcPr>
            <w:tcW w:type="dxa" w:w="7344"/>
            <w:vAlign w:val="center"/>
            <w:shd w:fill="F4F4F5"/>
          </w:tcPr>
          <w:p>
            <w:pPr>
              <w:pStyle w:val="Tablecopy"/>
            </w:pPr>
            <w:r/>
            <w:r>
              <w:rPr>
                <w:rFonts w:ascii="Inter" w:hAnsi="Inter" w:eastAsia="Inter" w:cs="Inter"/>
                <w:b/>
                <w:color w:val="18181B"/>
                <w:sz w:val="21"/>
              </w:rPr>
              <w:t>Decision discipline</w:t>
            </w:r>
          </w:p>
        </w:tc>
      </w:tr>
      <w:tr>
        <w:trPr>
          <w:cantSplit/>
        </w:trPr>
        <w:tc>
          <w:tcPr>
            <w:tcW w:type="dxa" w:w="2592"/>
            <w:vAlign w:val="center"/>
          </w:tcPr>
          <w:p>
            <w:pPr>
              <w:pStyle w:val="Tablecopy"/>
            </w:pPr>
            <w:r/>
            <w:r>
              <w:rPr>
                <w:rFonts w:ascii="Inter" w:hAnsi="Inter" w:eastAsia="Inter" w:cs="Inter"/>
                <w:b w:val="0"/>
                <w:color w:val="18181B"/>
                <w:sz w:val="21"/>
              </w:rPr>
              <w:t>Useful improvement</w:t>
            </w:r>
          </w:p>
        </w:tc>
        <w:tc>
          <w:tcPr>
            <w:tcW w:type="dxa" w:w="7344"/>
            <w:vAlign w:val="center"/>
          </w:tcPr>
          <w:p>
            <w:pPr>
              <w:pStyle w:val="Tablecopy"/>
            </w:pPr>
            <w:r/>
            <w:r>
              <w:rPr>
                <w:rFonts w:ascii="Inter" w:hAnsi="Inter" w:eastAsia="Inter" w:cs="Inter"/>
                <w:b w:val="0"/>
                <w:color w:val="18181B"/>
                <w:sz w:val="21"/>
              </w:rPr>
              <w:t>Compare the effect and uncertainty with the pre-agreed value boundary and guardrails before authorizing rollout.</w:t>
            </w:r>
          </w:p>
        </w:tc>
      </w:tr>
      <w:tr>
        <w:trPr>
          <w:cantSplit/>
        </w:trPr>
        <w:tc>
          <w:tcPr>
            <w:tcW w:type="dxa" w:w="2592"/>
            <w:vAlign w:val="center"/>
          </w:tcPr>
          <w:p>
            <w:pPr>
              <w:pStyle w:val="Tablecopy"/>
            </w:pPr>
            <w:r/>
            <w:r>
              <w:rPr>
                <w:rFonts w:ascii="Inter" w:hAnsi="Inter" w:eastAsia="Inter" w:cs="Inter"/>
                <w:b w:val="0"/>
                <w:color w:val="18181B"/>
                <w:sz w:val="21"/>
              </w:rPr>
              <w:t>Potential harm</w:t>
            </w:r>
          </w:p>
        </w:tc>
        <w:tc>
          <w:tcPr>
            <w:tcW w:type="dxa" w:w="7344"/>
            <w:vAlign w:val="center"/>
          </w:tcPr>
          <w:p>
            <w:pPr>
              <w:pStyle w:val="Tablecopy"/>
            </w:pPr>
            <w:r/>
            <w:r>
              <w:rPr>
                <w:rFonts w:ascii="Inter" w:hAnsi="Inter" w:eastAsia="Inter" w:cs="Inter"/>
                <w:b w:val="0"/>
                <w:color w:val="18181B"/>
                <w:sz w:val="21"/>
              </w:rPr>
              <w:t>Apply the agreed protection rule. Review whether the mechanism exposes users to additional risk.</w:t>
            </w:r>
          </w:p>
        </w:tc>
      </w:tr>
      <w:tr>
        <w:trPr>
          <w:cantSplit/>
        </w:trPr>
        <w:tc>
          <w:tcPr>
            <w:tcW w:type="dxa" w:w="2592"/>
            <w:vAlign w:val="center"/>
          </w:tcPr>
          <w:p>
            <w:pPr>
              <w:pStyle w:val="Tablecopy"/>
            </w:pPr>
            <w:r/>
            <w:r>
              <w:rPr>
                <w:rFonts w:ascii="Inter" w:hAnsi="Inter" w:eastAsia="Inter" w:cs="Inter"/>
                <w:b w:val="0"/>
                <w:color w:val="18181B"/>
                <w:sz w:val="21"/>
              </w:rPr>
              <w:t>Inconclusive</w:t>
            </w:r>
          </w:p>
        </w:tc>
        <w:tc>
          <w:tcPr>
            <w:tcW w:type="dxa" w:w="7344"/>
            <w:vAlign w:val="center"/>
          </w:tcPr>
          <w:p>
            <w:pPr>
              <w:pStyle w:val="Tablecopy"/>
            </w:pPr>
            <w:r/>
            <w:r>
              <w:rPr>
                <w:rFonts w:ascii="Inter" w:hAnsi="Inter" w:eastAsia="Inter" w:cs="Inter"/>
                <w:b w:val="0"/>
                <w:color w:val="18181B"/>
                <w:sz w:val="21"/>
              </w:rPr>
              <w:t>State what the interval still permits. A non-significant result does not establish equivalence or prove no effect.</w:t>
            </w:r>
          </w:p>
        </w:tc>
      </w:tr>
      <w:tr>
        <w:trPr>
          <w:cantSplit/>
        </w:trPr>
        <w:tc>
          <w:tcPr>
            <w:tcW w:type="dxa" w:w="2592"/>
            <w:vAlign w:val="center"/>
          </w:tcPr>
          <w:p>
            <w:pPr>
              <w:pStyle w:val="Tablecopy"/>
            </w:pPr>
            <w:r/>
            <w:r>
              <w:rPr>
                <w:rFonts w:ascii="Inter" w:hAnsi="Inter" w:eastAsia="Inter" w:cs="Inter"/>
                <w:b w:val="0"/>
                <w:color w:val="18181B"/>
                <w:sz w:val="21"/>
              </w:rPr>
              <w:t>Invalid comparison</w:t>
            </w:r>
          </w:p>
        </w:tc>
        <w:tc>
          <w:tcPr>
            <w:tcW w:type="dxa" w:w="7344"/>
            <w:vAlign w:val="center"/>
          </w:tcPr>
          <w:p>
            <w:pPr>
              <w:pStyle w:val="Tablecopy"/>
            </w:pPr>
            <w:r/>
            <w:r>
              <w:rPr>
                <w:rFonts w:ascii="Inter" w:hAnsi="Inter" w:eastAsia="Inter" w:cs="Inter"/>
                <w:b w:val="0"/>
                <w:color w:val="18181B"/>
                <w:sz w:val="21"/>
              </w:rPr>
              <w:t>Record the fault, affected evidence and whether a corrected run is justified. Do not select a winner.</w:t>
            </w:r>
          </w:p>
        </w:tc>
      </w:tr>
    </w:tbl>
    <w:p>
      <w:pPr>
        <w:pStyle w:val="Tablegap"/>
      </w:pPr>
    </w:p>
    <w:p>
      <w:pPr>
        <w:pStyle w:val="Fieldlabel"/>
      </w:pPr>
      <w:r>
        <w:rPr>
          <w:rFonts w:ascii="Inter" w:hAnsi="Inter" w:eastAsia="Inter" w:cs="Inter"/>
          <w:b/>
          <w:color w:val="18181B"/>
        </w:rPr>
        <w:t>Variant results • absolute effect • relative effect • uncertainty</w:t>
      </w:r>
    </w:p>
    <w:sdt>
      <w:sdtPr>
        <w:alias w:val="Variant results • absolute effect • relative effect • uncertainty"/>
        <w:tag w:val="field-16b8b7d203cc"/>
        <w:id w:val="247277731"/>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Guardrail results • limitations • deviations</w:t>
      </w:r>
    </w:p>
    <w:sdt>
      <w:sdtPr>
        <w:alias w:val="Guardrail results • limitations • deviations"/>
        <w:tag w:val="field-aae2817b453d"/>
        <w:id w:val="17484303"/>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Decision • rationale • approving owner</w:t>
      </w:r>
    </w:p>
    <w:sdt>
      <w:sdtPr>
        <w:alias w:val="Decision • rationale • approving owner"/>
        <w:tag w:val="field-83bfe6c44dd4"/>
        <w:id w:val="24210664"/>
      </w:sdtPr>
      <w:sdtContent>
        <w:p>
          <w:pPr>
            <w:pStyle w:val="Entry"/>
            <w:pBdr>
              <w:bottom w:val="single" w:sz="4" w:color="D4D4D8" w:space="1"/>
            </w:pBdr>
          </w:pPr>
          <w:r>
            <w:rPr>
              <w:rFonts w:ascii="Inter" w:hAnsi="Inter" w:eastAsia="Inter" w:cs="Inter"/>
              <w:color w:val="18181B"/>
            </w:rPr>
            <w:t xml:space="preserve"> </w:t>
          </w:r>
        </w:p>
      </w:sdtContent>
    </w:sdt>
    <w:p>
      <w:pPr>
        <w:pStyle w:val="Fieldlabel"/>
      </w:pPr>
      <w:r>
        <w:rPr>
          <w:rFonts w:ascii="Inter" w:hAnsi="Inter" w:eastAsia="Inter" w:cs="Inter"/>
          <w:b/>
          <w:color w:val="18181B"/>
        </w:rPr>
        <w:t>Rollout / follow-up action • owner • review trigger</w:t>
      </w:r>
    </w:p>
    <w:sdt>
      <w:sdtPr>
        <w:alias w:val="Rollout / follow-up action • owner • review trigger"/>
        <w:tag w:val="field-347bcdd40ec1"/>
        <w:id w:val="61575394"/>
      </w:sdtPr>
      <w:sdtContent>
        <w:p>
          <w:pPr>
            <w:pStyle w:val="Entry"/>
            <w:pBdr>
              <w:bottom w:val="single" w:sz="4" w:color="D4D4D8" w:space="1"/>
            </w:pBdr>
          </w:pPr>
          <w:r>
            <w:rPr>
              <w:rFonts w:ascii="Inter" w:hAnsi="Inter" w:eastAsia="Inter" w:cs="Inter"/>
              <w:color w:val="18181B"/>
            </w:rPr>
            <w:t xml:space="preserve"> </w:t>
          </w:r>
        </w:p>
      </w:sdtContent>
    </w:sdt>
    <w:p>
      <w:pPr>
        <w:pStyle w:val="Small"/>
      </w:pPr>
      <w:r>
        <w:rPr>
          <w:rFonts w:ascii="Inter" w:hAnsi="Inter" w:eastAsia="Inter" w:cs="Inter"/>
          <w:b w:val="0"/>
          <w:color w:val="18181B"/>
        </w:rPr>
        <w:t>Archive the agreed brief, implementation version, analysis and decision together. A rollout still needs operational ownership and monitoring for conditions that the experiment did not cover.</w:t>
      </w:r>
    </w:p>
    <w:sectPr w:rsidR="00FC693F" w:rsidRPr="0006063C" w:rsidSect="00034616">
      <w:headerReference w:type="default" r:id="rId9"/>
      <w:footerReference w:type="default" r:id="rId10"/>
      <w:pgSz w:w="12240" w:h="15840"/>
      <w:pgMar w:top="1310" w:right="1152" w:bottom="1008" w:left="1152"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family w:val="swiss"/>
    <w:embedRegular r:id="rIdInter1" w:fontKey="{EA67DCFA-FE46-4698-9FCC-3DA9426EA2B1}"/>
    <w:embedBold r:id="rIdInter2" w:fontKey="{624AA1E7-C5CF-4D23-BEED-44AD09C3349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rFonts w:ascii="Inter" w:hAnsi="Inter" w:eastAsia="Inter" w:cs="Inter"/>
        <w:b w:val="0"/>
        <w:color w:val="52525B"/>
        <w:sz w:val="16"/>
      </w:rPr>
      <w:t>© MT BYTES</w:t>
    </w:r>
    <w:r>
      <w:rPr>
        <w:rFonts w:ascii="Inter" w:hAnsi="Inter" w:eastAsia="Inter" w:cs="Inter"/>
        <w:color w:val="18181B"/>
        <w:sz w:val="16"/>
      </w:rPr>
      <w:tab/>
    </w:r>
    <w:r>
      <w:fldChar w:fldCharType="begin"/>
    </w:r>
    <w:r>
      <w:instrText> PAGE </w:instrText>
    </w:r>
    <w:r>
      <w:rPr>
        <w:rFonts w:ascii="Inter" w:hAnsi="Inter" w:eastAsia="Inter" w:cs="Inter"/>
        <w:b w:val="0"/>
        <w:color w:val="52525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spacing w:after="0"/>
    </w:pPr>
    <w:r>
      <w:drawing>
        <wp:inline xmlns:a="http://schemas.openxmlformats.org/drawingml/2006/main" xmlns:pic="http://schemas.openxmlformats.org/drawingml/2006/picture">
          <wp:extent cx="1307592" cy="345695"/>
          <wp:docPr id="1" name="Picture 1" descr="MT BYTES — Innovation in Motion"/>
          <wp:cNvGraphicFramePr>
            <a:graphicFrameLocks noChangeAspect="1"/>
          </wp:cNvGraphicFramePr>
          <a:graphic>
            <a:graphicData uri="http://schemas.openxmlformats.org/drawingml/2006/picture">
              <pic:pic>
                <pic:nvPicPr>
                  <pic:cNvPr id="0" name="mtbytes-logo.png"/>
                  <pic:cNvPicPr/>
                </pic:nvPicPr>
                <pic:blipFill>
                  <a:blip r:embed="rId1"/>
                  <a:stretch>
                    <a:fillRect/>
                  </a:stretch>
                </pic:blipFill>
                <pic:spPr>
                  <a:xfrm>
                    <a:off x="0" y="0"/>
                    <a:ext cx="1307592" cy="345695"/>
                  </a:xfrm>
                  <a:prstGeom prst="rect"/>
                </pic:spPr>
              </pic:pic>
            </a:graphicData>
          </a:graphic>
        </wp:inline>
      </w:drawing>
    </w:r>
    <w:r>
      <w:rPr>
        <w:rFonts w:ascii="Inter" w:hAnsi="Inter" w:eastAsia="Inter" w:cs="Inter"/>
        <w:b w:val="0"/>
        <w:color w:val="000000"/>
        <w:sz w:val="16"/>
      </w:rPr>
      <w:tab/>
      <w:t>Conversion Experiment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Inter" w:hAnsi="Inter" w:eastAsia="Inter" w:cs="Inter"/>
      <w:color w:val="18181B"/>
      <w:sz w:val="22"/>
    </w:rPr>
  </w:style>
  <w:style w:type="paragraph" w:styleId="Header">
    <w:name w:val="header"/>
    <w:basedOn w:val="Normal"/>
    <w:link w:val="HeaderChar"/>
    <w:uiPriority w:val="99"/>
    <w:unhideWhenUsed/>
    <w:rsid w:val="00E618BF"/>
    <w:pPr>
      <w:widowControl/>
      <w:spacing w:after="0" w:line="240" w:lineRule="auto"/>
    </w:pPr>
    <w:rPr>
      <w:rFonts w:ascii="Inter" w:hAnsi="Inter" w:eastAsia="Inter" w:cs="Inter"/>
      <w:color w:val="000000"/>
    </w:rPr>
  </w:style>
  <w:style w:type="character" w:customStyle="1" w:styleId="HeaderChar">
    <w:name w:val="Header Char"/>
    <w:basedOn w:val="DefaultParagraphFont"/>
    <w:link w:val="Header"/>
    <w:uiPriority w:val="99"/>
    <w:rsid w:val="00E618BF"/>
    <w:rPr>
      <w:rFonts w:ascii="Inter" w:hAnsi="Inter" w:eastAsia="Inter" w:cs="Inter"/>
      <w:color w:val="000000"/>
    </w:rPr>
  </w:style>
  <w:style w:type="paragraph" w:styleId="Footer">
    <w:name w:val="footer"/>
    <w:basedOn w:val="Normal"/>
    <w:link w:val="FooterChar"/>
    <w:uiPriority w:val="99"/>
    <w:unhideWhenUsed/>
    <w:rsid w:val="00E618BF"/>
    <w:pPr>
      <w:widowControl/>
      <w:spacing w:after="0" w:line="240" w:lineRule="auto"/>
    </w:pPr>
    <w:rPr>
      <w:rFonts w:ascii="Inter" w:hAnsi="Inter" w:eastAsia="Inter" w:cs="Inter"/>
      <w:color w:val="000000"/>
    </w:rPr>
  </w:style>
  <w:style w:type="character" w:customStyle="1" w:styleId="FooterChar">
    <w:name w:val="Footer Char"/>
    <w:basedOn w:val="DefaultParagraphFont"/>
    <w:link w:val="Footer"/>
    <w:uiPriority w:val="99"/>
    <w:rsid w:val="00E618BF"/>
    <w:rPr>
      <w:rFonts w:ascii="Inter" w:hAnsi="Inter" w:eastAsia="Inter" w:cs="Inter"/>
      <w:color w:val="000000"/>
    </w:rPr>
  </w:style>
  <w:style w:type="paragraph" w:styleId="Heading1">
    <w:name w:val="heading 1"/>
    <w:basedOn w:val="Normal"/>
    <w:next w:val="Normal"/>
    <w:link w:val="Heading1Char"/>
    <w:uiPriority w:val="9"/>
    <w:qFormat/>
    <w:rsid w:val="00FC693F"/>
    <w:pPr>
      <w:keepNext/>
      <w:keepLines/>
      <w:widowControl/>
      <w:spacing w:before="0" w:after="240" w:line="252" w:lineRule="auto"/>
      <w:outlineLvl w:val="0"/>
    </w:pPr>
    <w:rPr>
      <w:rFonts w:ascii="Inter" w:hAnsi="Inter" w:eastAsia="Inter" w:cs="Inter"/>
      <w:b/>
      <w:bCs/>
      <w:color w:val="000000"/>
      <w:sz w:val="46"/>
      <w:szCs w:val="28"/>
    </w:rPr>
  </w:style>
  <w:style w:type="paragraph" w:styleId="Heading2">
    <w:name w:val="heading 2"/>
    <w:basedOn w:val="Normal"/>
    <w:next w:val="Normal"/>
    <w:link w:val="Heading2Char"/>
    <w:uiPriority w:val="9"/>
    <w:unhideWhenUsed/>
    <w:qFormat/>
    <w:rsid w:val="00FC693F"/>
    <w:pPr>
      <w:keepNext/>
      <w:keepLines/>
      <w:widowControl/>
      <w:spacing w:before="160" w:after="140" w:line="252" w:lineRule="auto"/>
      <w:outlineLvl w:val="1"/>
    </w:pPr>
    <w:rPr>
      <w:rFonts w:ascii="Inter" w:hAnsi="Inter" w:eastAsia="Inter" w:cs="Inter"/>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120" w:line="252" w:lineRule="auto"/>
      <w:outlineLvl w:val="2"/>
    </w:pPr>
    <w:rPr>
      <w:rFonts w:ascii="Inter" w:hAnsi="Inter" w:eastAsia="Inter" w:cs="Inter"/>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Inter" w:hAnsi="Inter" w:eastAsia="Inter" w:cs="Inter"/>
      <w:b/>
      <w:bCs/>
      <w:i/>
      <w:iCs/>
      <w:color w:val="000000"/>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Inter" w:hAnsi="Inter" w:eastAsia="Inter" w:cs="Inter"/>
      <w:color w:val="000000"/>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Inter" w:hAnsi="Inter" w:eastAsia="Inter" w:cs="Inter"/>
      <w:i/>
      <w:iCs/>
      <w:color w:val="000000"/>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Inter" w:hAnsi="Inter" w:eastAsia="Inter" w:cs="Inter"/>
      <w:i/>
      <w:iCs/>
      <w:color w:val="000000"/>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Inter" w:hAnsi="Inter" w:eastAsia="Inter" w:cs="Inter"/>
      <w:color w:val="000000"/>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Inter" w:hAnsi="Inter" w:eastAsia="Inter" w:cs="Inter"/>
      <w:i/>
      <w:iCs/>
      <w:color w:val="000000"/>
      <w:sz w:val="20"/>
      <w:szCs w:val="20"/>
    </w:rPr>
  </w:style>
  <w:style w:type="character" w:default="1" w:styleId="DefaultParagraphFont">
    <w:name w:val="Default Paragraph Font"/>
    <w:uiPriority w:val="1"/>
    <w:semiHidden/>
    <w:unhideWhenUsed/>
    <w:rPr>
      <w:rFonts w:ascii="Inter" w:hAnsi="Inter" w:eastAsia="Inter" w:cs="Inte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rPr>
      <w:rFonts w:ascii="Inter" w:hAnsi="Inter" w:eastAsia="Inter" w:cs="Inter"/>
      <w:color w:val="000000"/>
    </w:rPr>
  </w:style>
  <w:style w:type="character" w:customStyle="1" w:styleId="Heading1Char">
    <w:name w:val="Heading 1 Char"/>
    <w:basedOn w:val="DefaultParagraphFont"/>
    <w:link w:val="Heading1"/>
    <w:uiPriority w:val="9"/>
    <w:rsid w:val="00FC693F"/>
    <w:rPr>
      <w:rFonts w:ascii="Inter" w:hAnsi="Inter" w:eastAsia="Inter" w:cs="Inter"/>
      <w:b/>
      <w:bCs/>
      <w:color w:val="000000"/>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000000"/>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000000"/>
    </w:rPr>
  </w:style>
  <w:style w:type="paragraph" w:styleId="Title">
    <w:name w:val="Title"/>
    <w:basedOn w:val="Normal"/>
    <w:next w:val="Normal"/>
    <w:link w:val="TitleChar"/>
    <w:uiPriority w:val="10"/>
    <w:qFormat/>
    <w:rsid w:val="00FC693F"/>
    <w:pPr>
      <w:keepNext/>
      <w:widowControl/>
      <w:spacing w:after="240" w:line="252" w:lineRule="auto" w:before="0"/>
      <w:contextualSpacing/>
    </w:pPr>
    <w:rPr>
      <w:rFonts w:ascii="Inter" w:hAnsi="Inter" w:eastAsia="Inter" w:cs="Inter"/>
      <w:b/>
      <w:color w:val="000000"/>
      <w:spacing w:val="5"/>
      <w:kern w:val="28"/>
      <w:sz w:val="58"/>
      <w:szCs w:val="52"/>
    </w:rPr>
  </w:style>
  <w:style w:type="character" w:customStyle="1" w:styleId="TitleChar">
    <w:name w:val="Title Char"/>
    <w:basedOn w:val="DefaultParagraphFont"/>
    <w:link w:val="Title"/>
    <w:uiPriority w:val="10"/>
    <w:rsid w:val="00FC693F"/>
    <w:rPr>
      <w:rFonts w:ascii="Inter" w:hAnsi="Inter" w:eastAsia="Inter" w:cs="Inter"/>
      <w:color w:val="000000"/>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Inter" w:hAnsi="Inter" w:eastAsia="Inter" w:cs="Inter"/>
      <w:i/>
      <w:iCs/>
      <w:color w:val="000000"/>
      <w:spacing w:val="15"/>
      <w:sz w:val="24"/>
      <w:szCs w:val="24"/>
    </w:rPr>
  </w:style>
  <w:style w:type="character" w:customStyle="1" w:styleId="SubtitleChar">
    <w:name w:val="Subtitle Char"/>
    <w:basedOn w:val="DefaultParagraphFont"/>
    <w:link w:val="Subtitle"/>
    <w:uiPriority w:val="11"/>
    <w:rsid w:val="00FC693F"/>
    <w:rPr>
      <w:rFonts w:ascii="Inter" w:hAnsi="Inter" w:eastAsia="Inter" w:cs="Inter"/>
      <w:i/>
      <w:iCs/>
      <w:color w:val="000000"/>
      <w:spacing w:val="15"/>
      <w:sz w:val="24"/>
      <w:szCs w:val="24"/>
    </w:rPr>
  </w:style>
  <w:style w:type="paragraph" w:styleId="ListParagraph">
    <w:name w:val="List Paragraph"/>
    <w:basedOn w:val="Normal"/>
    <w:uiPriority w:val="34"/>
    <w:qFormat/>
    <w:rsid w:val="00FC693F"/>
    <w:pPr>
      <w:widowControl/>
      <w:ind w:left="720"/>
      <w:contextualSpacing/>
    </w:pPr>
    <w:rPr>
      <w:rFonts w:ascii="Inter" w:hAnsi="Inter" w:eastAsia="Inter" w:cs="Inter"/>
      <w:color w:val="000000"/>
    </w:rPr>
  </w:style>
  <w:style w:type="paragraph" w:styleId="BodyText">
    <w:name w:val="Body Text"/>
    <w:basedOn w:val="Normal"/>
    <w:link w:val="BodyTextChar"/>
    <w:uiPriority w:val="99"/>
    <w:unhideWhenUsed/>
    <w:rsid w:val="00AA1D8D"/>
    <w:pPr>
      <w:widowControl/>
      <w:spacing w:after="120"/>
    </w:pPr>
    <w:rPr>
      <w:rFonts w:ascii="Inter" w:hAnsi="Inter" w:eastAsia="Inter" w:cs="Inter"/>
      <w:color w:val="000000"/>
    </w:rPr>
  </w:style>
  <w:style w:type="character" w:customStyle="1" w:styleId="BodyTextChar">
    <w:name w:val="Body Text Char"/>
    <w:basedOn w:val="DefaultParagraphFont"/>
    <w:link w:val="BodyText"/>
    <w:uiPriority w:val="99"/>
    <w:rsid w:val="00AA1D8D"/>
    <w:rPr>
      <w:rFonts w:ascii="Inter" w:hAnsi="Inter" w:eastAsia="Inter" w:cs="Inter"/>
      <w:color w:val="000000"/>
    </w:rPr>
  </w:style>
  <w:style w:type="paragraph" w:styleId="BodyText2">
    <w:name w:val="Body Text 2"/>
    <w:basedOn w:val="Normal"/>
    <w:link w:val="BodyText2Char"/>
    <w:uiPriority w:val="99"/>
    <w:unhideWhenUsed/>
    <w:rsid w:val="00AA1D8D"/>
    <w:pPr>
      <w:widowControl/>
      <w:spacing w:after="120" w:line="480" w:lineRule="auto"/>
    </w:pPr>
    <w:rPr>
      <w:rFonts w:ascii="Inter" w:hAnsi="Inter" w:eastAsia="Inter" w:cs="Inter"/>
      <w:color w:val="000000"/>
    </w:rPr>
  </w:style>
  <w:style w:type="character" w:customStyle="1" w:styleId="BodyText2Char">
    <w:name w:val="Body Text 2 Char"/>
    <w:basedOn w:val="DefaultParagraphFont"/>
    <w:link w:val="BodyText2"/>
    <w:uiPriority w:val="99"/>
    <w:rsid w:val="00AA1D8D"/>
    <w:rPr>
      <w:rFonts w:ascii="Inter" w:hAnsi="Inter" w:eastAsia="Inter" w:cs="Inter"/>
      <w:color w:val="000000"/>
    </w:rPr>
  </w:style>
  <w:style w:type="paragraph" w:styleId="BodyText3">
    <w:name w:val="Body Text 3"/>
    <w:basedOn w:val="Normal"/>
    <w:link w:val="BodyText3Char"/>
    <w:uiPriority w:val="99"/>
    <w:unhideWhenUsed/>
    <w:rsid w:val="00AA1D8D"/>
    <w:pPr>
      <w:widowControl/>
      <w:spacing w:after="120"/>
    </w:pPr>
    <w:rPr>
      <w:rFonts w:ascii="Inter" w:hAnsi="Inter" w:eastAsia="Inter" w:cs="Inter"/>
      <w:color w:val="000000"/>
      <w:sz w:val="16"/>
      <w:szCs w:val="16"/>
    </w:rPr>
  </w:style>
  <w:style w:type="character" w:customStyle="1" w:styleId="BodyText3Char">
    <w:name w:val="Body Text 3 Char"/>
    <w:basedOn w:val="DefaultParagraphFont"/>
    <w:link w:val="BodyText3"/>
    <w:uiPriority w:val="99"/>
    <w:rsid w:val="00AA1D8D"/>
    <w:rPr>
      <w:rFonts w:ascii="Inter" w:hAnsi="Inter" w:eastAsia="Inter" w:cs="Inter"/>
      <w:color w:val="000000"/>
      <w:sz w:val="16"/>
      <w:szCs w:val="16"/>
    </w:rPr>
  </w:style>
  <w:style w:type="paragraph" w:styleId="List">
    <w:name w:val="List"/>
    <w:basedOn w:val="Normal"/>
    <w:uiPriority w:val="99"/>
    <w:unhideWhenUsed/>
    <w:rsid w:val="00AA1D8D"/>
    <w:pPr>
      <w:widowControl/>
      <w:ind w:left="360" w:hanging="360"/>
      <w:contextualSpacing/>
    </w:pPr>
    <w:rPr>
      <w:rFonts w:ascii="Inter" w:hAnsi="Inter" w:eastAsia="Inter" w:cs="Inter"/>
      <w:color w:val="000000"/>
    </w:rPr>
  </w:style>
  <w:style w:type="paragraph" w:styleId="List2">
    <w:name w:val="List 2"/>
    <w:basedOn w:val="Normal"/>
    <w:uiPriority w:val="99"/>
    <w:unhideWhenUsed/>
    <w:rsid w:val="00326F90"/>
    <w:pPr>
      <w:widowControl/>
      <w:ind w:left="720" w:hanging="360"/>
      <w:contextualSpacing/>
    </w:pPr>
    <w:rPr>
      <w:rFonts w:ascii="Inter" w:hAnsi="Inter" w:eastAsia="Inter" w:cs="Inter"/>
      <w:color w:val="000000"/>
    </w:rPr>
  </w:style>
  <w:style w:type="paragraph" w:styleId="List3">
    <w:name w:val="List 3"/>
    <w:basedOn w:val="Normal"/>
    <w:uiPriority w:val="99"/>
    <w:unhideWhenUsed/>
    <w:rsid w:val="00326F90"/>
    <w:pPr>
      <w:widowControl/>
      <w:ind w:left="1080" w:hanging="360"/>
      <w:contextualSpacing/>
    </w:pPr>
    <w:rPr>
      <w:rFonts w:ascii="Inter" w:hAnsi="Inter" w:eastAsia="Inter" w:cs="Inter"/>
      <w:color w:val="000000"/>
    </w:rPr>
  </w:style>
  <w:style w:type="paragraph" w:styleId="ListBullet">
    <w:name w:val="List Bullet"/>
    <w:basedOn w:val="Normal"/>
    <w:uiPriority w:val="99"/>
    <w:unhideWhenUsed/>
    <w:rsid w:val="00326F90"/>
    <w:pPr>
      <w:widowControl/>
      <w:numPr>
        <w:numId w:val="1"/>
      </w:numPr>
      <w:contextualSpacing/>
    </w:pPr>
    <w:rPr>
      <w:rFonts w:ascii="Inter" w:hAnsi="Inter" w:eastAsia="Inter" w:cs="Inter"/>
      <w:color w:val="000000"/>
    </w:rPr>
  </w:style>
  <w:style w:type="paragraph" w:styleId="ListBullet2">
    <w:name w:val="List Bullet 2"/>
    <w:basedOn w:val="Normal"/>
    <w:uiPriority w:val="99"/>
    <w:unhideWhenUsed/>
    <w:rsid w:val="00326F90"/>
    <w:pPr>
      <w:widowControl/>
      <w:numPr>
        <w:numId w:val="2"/>
      </w:numPr>
      <w:contextualSpacing/>
    </w:pPr>
    <w:rPr>
      <w:rFonts w:ascii="Inter" w:hAnsi="Inter" w:eastAsia="Inter" w:cs="Inter"/>
      <w:color w:val="000000"/>
    </w:rPr>
  </w:style>
  <w:style w:type="paragraph" w:styleId="ListBullet3">
    <w:name w:val="List Bullet 3"/>
    <w:basedOn w:val="Normal"/>
    <w:uiPriority w:val="99"/>
    <w:unhideWhenUsed/>
    <w:rsid w:val="00326F90"/>
    <w:pPr>
      <w:widowControl/>
      <w:numPr>
        <w:numId w:val="3"/>
      </w:numPr>
      <w:contextualSpacing/>
    </w:pPr>
    <w:rPr>
      <w:rFonts w:ascii="Inter" w:hAnsi="Inter" w:eastAsia="Inter" w:cs="Inter"/>
      <w:color w:val="000000"/>
    </w:rPr>
  </w:style>
  <w:style w:type="paragraph" w:styleId="ListNumber">
    <w:name w:val="List Number"/>
    <w:basedOn w:val="Normal"/>
    <w:uiPriority w:val="99"/>
    <w:unhideWhenUsed/>
    <w:rsid w:val="00326F90"/>
    <w:pPr>
      <w:widowControl/>
      <w:numPr>
        <w:numId w:val="5"/>
      </w:numPr>
      <w:contextualSpacing/>
    </w:pPr>
    <w:rPr>
      <w:rFonts w:ascii="Inter" w:hAnsi="Inter" w:eastAsia="Inter" w:cs="Inter"/>
      <w:color w:val="000000"/>
    </w:rPr>
  </w:style>
  <w:style w:type="paragraph" w:styleId="ListNumber2">
    <w:name w:val="List Number 2"/>
    <w:basedOn w:val="Normal"/>
    <w:uiPriority w:val="99"/>
    <w:unhideWhenUsed/>
    <w:rsid w:val="0029639D"/>
    <w:pPr>
      <w:widowControl/>
      <w:numPr>
        <w:numId w:val="6"/>
      </w:numPr>
      <w:contextualSpacing/>
    </w:pPr>
    <w:rPr>
      <w:rFonts w:ascii="Inter" w:hAnsi="Inter" w:eastAsia="Inter" w:cs="Inter"/>
      <w:color w:val="000000"/>
    </w:rPr>
  </w:style>
  <w:style w:type="paragraph" w:styleId="ListNumber3">
    <w:name w:val="List Number 3"/>
    <w:basedOn w:val="Normal"/>
    <w:uiPriority w:val="99"/>
    <w:unhideWhenUsed/>
    <w:rsid w:val="0029639D"/>
    <w:pPr>
      <w:widowControl/>
      <w:numPr>
        <w:numId w:val="7"/>
      </w:numPr>
      <w:contextualSpacing/>
    </w:pPr>
    <w:rPr>
      <w:rFonts w:ascii="Inter" w:hAnsi="Inter" w:eastAsia="Inter" w:cs="Inter"/>
      <w:color w:val="000000"/>
    </w:rPr>
  </w:style>
  <w:style w:type="paragraph" w:styleId="ListContinue">
    <w:name w:val="List Continue"/>
    <w:basedOn w:val="Normal"/>
    <w:uiPriority w:val="99"/>
    <w:unhideWhenUsed/>
    <w:rsid w:val="0029639D"/>
    <w:pPr>
      <w:widowControl/>
      <w:spacing w:after="120"/>
      <w:ind w:left="360"/>
      <w:contextualSpacing/>
    </w:pPr>
    <w:rPr>
      <w:rFonts w:ascii="Inter" w:hAnsi="Inter" w:eastAsia="Inter" w:cs="Inter"/>
      <w:color w:val="000000"/>
    </w:rPr>
  </w:style>
  <w:style w:type="paragraph" w:styleId="ListContinue2">
    <w:name w:val="List Continue 2"/>
    <w:basedOn w:val="Normal"/>
    <w:uiPriority w:val="99"/>
    <w:unhideWhenUsed/>
    <w:rsid w:val="0029639D"/>
    <w:pPr>
      <w:widowControl/>
      <w:spacing w:after="120"/>
      <w:ind w:left="720"/>
      <w:contextualSpacing/>
    </w:pPr>
    <w:rPr>
      <w:rFonts w:ascii="Inter" w:hAnsi="Inter" w:eastAsia="Inter" w:cs="Inter"/>
      <w:color w:val="000000"/>
    </w:rPr>
  </w:style>
  <w:style w:type="paragraph" w:styleId="ListContinue3">
    <w:name w:val="List Continue 3"/>
    <w:basedOn w:val="Normal"/>
    <w:uiPriority w:val="99"/>
    <w:unhideWhenUsed/>
    <w:rsid w:val="0029639D"/>
    <w:pPr>
      <w:widowControl/>
      <w:spacing w:after="120"/>
      <w:ind w:left="1080"/>
      <w:contextualSpacing/>
    </w:pPr>
    <w:rPr>
      <w:rFonts w:ascii="Inter" w:hAnsi="Inter" w:eastAsia="Inter" w:cs="Inter"/>
      <w:color w:val="000000"/>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Inter" w:hAnsi="Inter" w:eastAsia="Inter" w:cs="Inter"/>
      <w:color w:val="000000"/>
      <w:sz w:val="20"/>
      <w:szCs w:val="20"/>
    </w:rPr>
  </w:style>
  <w:style w:type="character" w:customStyle="1" w:styleId="MacroTextChar">
    <w:name w:val="Macro Text Char"/>
    <w:basedOn w:val="DefaultParagraphFont"/>
    <w:link w:val="MacroText"/>
    <w:uiPriority w:val="99"/>
    <w:rsid w:val="0029639D"/>
    <w:rPr>
      <w:rFonts w:ascii="Inter" w:hAnsi="Inter" w:eastAsia="Inter" w:cs="Inter"/>
      <w:color w:val="000000"/>
      <w:sz w:val="20"/>
      <w:szCs w:val="20"/>
    </w:rPr>
  </w:style>
  <w:style w:type="paragraph" w:styleId="Quote">
    <w:name w:val="Quote"/>
    <w:basedOn w:val="Normal"/>
    <w:next w:val="Normal"/>
    <w:link w:val="QuoteChar"/>
    <w:uiPriority w:val="29"/>
    <w:qFormat/>
    <w:rsid w:val="00FC693F"/>
    <w:pPr>
      <w:widowControl/>
    </w:pPr>
    <w:rPr>
      <w:rFonts w:ascii="Inter" w:hAnsi="Inter" w:eastAsia="Inter" w:cs="Inter"/>
      <w:i/>
      <w:iCs/>
      <w:color w:val="000000"/>
    </w:rPr>
  </w:style>
  <w:style w:type="character" w:customStyle="1" w:styleId="QuoteChar">
    <w:name w:val="Quote Char"/>
    <w:basedOn w:val="DefaultParagraphFont"/>
    <w:link w:val="Quote"/>
    <w:uiPriority w:val="29"/>
    <w:rsid w:val="00FC693F"/>
    <w:rPr>
      <w:rFonts w:ascii="Inter" w:hAnsi="Inter" w:eastAsia="Inter" w:cs="Inter"/>
      <w:i/>
      <w:iCs/>
      <w:color w:val="000000"/>
    </w:rPr>
  </w:style>
  <w:style w:type="character" w:customStyle="1" w:styleId="Heading4Char">
    <w:name w:val="Heading 4 Char"/>
    <w:basedOn w:val="DefaultParagraphFont"/>
    <w:link w:val="Heading4"/>
    <w:uiPriority w:val="9"/>
    <w:semiHidden/>
    <w:rsid w:val="00FC693F"/>
    <w:rPr>
      <w:rFonts w:ascii="Inter" w:hAnsi="Inter" w:eastAsia="Inter" w:cs="Inter"/>
      <w:b/>
      <w:bCs/>
      <w:i/>
      <w:iCs/>
      <w:color w:val="000000"/>
    </w:rPr>
  </w:style>
  <w:style w:type="character" w:customStyle="1" w:styleId="Heading5Char">
    <w:name w:val="Heading 5 Char"/>
    <w:basedOn w:val="DefaultParagraphFont"/>
    <w:link w:val="Heading5"/>
    <w:uiPriority w:val="9"/>
    <w:semiHidden/>
    <w:rsid w:val="00FC693F"/>
    <w:rPr>
      <w:rFonts w:ascii="Inter" w:hAnsi="Inter" w:eastAsia="Inter" w:cs="Inter"/>
      <w:color w:val="000000"/>
    </w:rPr>
  </w:style>
  <w:style w:type="character" w:customStyle="1" w:styleId="Heading6Char">
    <w:name w:val="Heading 6 Char"/>
    <w:basedOn w:val="DefaultParagraphFont"/>
    <w:link w:val="Heading6"/>
    <w:uiPriority w:val="9"/>
    <w:semiHidden/>
    <w:rsid w:val="00FC693F"/>
    <w:rPr>
      <w:rFonts w:ascii="Inter" w:hAnsi="Inter" w:eastAsia="Inter" w:cs="Inter"/>
      <w:i/>
      <w:iCs/>
      <w:color w:val="000000"/>
    </w:rPr>
  </w:style>
  <w:style w:type="character" w:customStyle="1" w:styleId="Heading7Char">
    <w:name w:val="Heading 7 Char"/>
    <w:basedOn w:val="DefaultParagraphFont"/>
    <w:link w:val="Heading7"/>
    <w:uiPriority w:val="9"/>
    <w:semiHidden/>
    <w:rsid w:val="00FC693F"/>
    <w:rPr>
      <w:rFonts w:ascii="Inter" w:hAnsi="Inter" w:eastAsia="Inter" w:cs="Inter"/>
      <w:i/>
      <w:iCs/>
      <w:color w:val="000000"/>
    </w:rPr>
  </w:style>
  <w:style w:type="character" w:customStyle="1" w:styleId="Heading8Char">
    <w:name w:val="Heading 8 Char"/>
    <w:basedOn w:val="DefaultParagraphFont"/>
    <w:link w:val="Heading8"/>
    <w:uiPriority w:val="9"/>
    <w:semiHidden/>
    <w:rsid w:val="00FC693F"/>
    <w:rPr>
      <w:rFonts w:ascii="Inter" w:hAnsi="Inter" w:eastAsia="Inter" w:cs="Inter"/>
      <w:color w:val="000000"/>
      <w:sz w:val="20"/>
      <w:szCs w:val="20"/>
    </w:rPr>
  </w:style>
  <w:style w:type="character" w:customStyle="1" w:styleId="Heading9Char">
    <w:name w:val="Heading 9 Char"/>
    <w:basedOn w:val="DefaultParagraphFont"/>
    <w:link w:val="Heading9"/>
    <w:uiPriority w:val="9"/>
    <w:semiHidden/>
    <w:rsid w:val="00FC693F"/>
    <w:rPr>
      <w:rFonts w:ascii="Inter" w:hAnsi="Inter" w:eastAsia="Inter" w:cs="Inter"/>
      <w:i/>
      <w:iCs/>
      <w:color w:val="000000"/>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Inter" w:hAnsi="Inter" w:eastAsia="Inter" w:cs="Inter"/>
      <w:b/>
      <w:bCs/>
      <w:color w:val="000000"/>
      <w:sz w:val="18"/>
      <w:szCs w:val="18"/>
    </w:rPr>
  </w:style>
  <w:style w:type="character" w:styleId="Strong">
    <w:name w:val="Strong"/>
    <w:basedOn w:val="DefaultParagraphFont"/>
    <w:uiPriority w:val="22"/>
    <w:qFormat/>
    <w:rsid w:val="00FC693F"/>
    <w:rPr>
      <w:rFonts w:ascii="Inter" w:hAnsi="Inter" w:eastAsia="Inter" w:cs="Inter"/>
      <w:b/>
      <w:bCs/>
      <w:color w:val="000000"/>
    </w:rPr>
  </w:style>
  <w:style w:type="character" w:styleId="Emphasis">
    <w:name w:val="Emphasis"/>
    <w:basedOn w:val="DefaultParagraphFont"/>
    <w:uiPriority w:val="20"/>
    <w:qFormat/>
    <w:rsid w:val="00FC693F"/>
    <w:rPr>
      <w:rFonts w:ascii="Inter" w:hAnsi="Inter" w:eastAsia="Inter" w:cs="Inter"/>
      <w:i/>
      <w:iCs/>
      <w:color w:val="000000"/>
    </w:rPr>
  </w:style>
  <w:style w:type="paragraph" w:styleId="IntenseQuote">
    <w:name w:val="Intense Quote"/>
    <w:basedOn w:val="Normal"/>
    <w:next w:val="Normal"/>
    <w:link w:val="IntenseQuoteChar"/>
    <w:uiPriority w:val="30"/>
    <w:qFormat/>
    <w:rsid w:val="00FC693F"/>
    <w:pPr>
      <w:widowControl/>
      <w:spacing w:before="200" w:after="280"/>
      <w:ind w:left="936" w:right="936"/>
    </w:pPr>
    <w:rPr>
      <w:rFonts w:ascii="Inter" w:hAnsi="Inter" w:eastAsia="Inter" w:cs="Inter"/>
      <w:b/>
      <w:bCs/>
      <w:i/>
      <w:iCs/>
      <w:color w:val="000000"/>
    </w:rPr>
  </w:style>
  <w:style w:type="character" w:customStyle="1" w:styleId="IntenseQuoteChar">
    <w:name w:val="Intense Quote Char"/>
    <w:basedOn w:val="DefaultParagraphFont"/>
    <w:link w:val="IntenseQuote"/>
    <w:uiPriority w:val="30"/>
    <w:rsid w:val="00FC693F"/>
    <w:rPr>
      <w:rFonts w:ascii="Inter" w:hAnsi="Inter" w:eastAsia="Inter" w:cs="Inter"/>
      <w:b/>
      <w:bCs/>
      <w:i/>
      <w:iCs/>
      <w:color w:val="000000"/>
    </w:rPr>
  </w:style>
  <w:style w:type="character" w:styleId="SubtleEmphasis">
    <w:name w:val="Subtle Emphasis"/>
    <w:basedOn w:val="DefaultParagraphFont"/>
    <w:uiPriority w:val="19"/>
    <w:qFormat/>
    <w:rsid w:val="00FC693F"/>
    <w:rPr>
      <w:rFonts w:ascii="Inter" w:hAnsi="Inter" w:eastAsia="Inter" w:cs="Inter"/>
      <w:i/>
      <w:iCs/>
      <w:color w:val="000000"/>
    </w:rPr>
  </w:style>
  <w:style w:type="character" w:styleId="IntenseEmphasis">
    <w:name w:val="Intense Emphasis"/>
    <w:basedOn w:val="DefaultParagraphFont"/>
    <w:uiPriority w:val="21"/>
    <w:qFormat/>
    <w:rsid w:val="00FC693F"/>
    <w:rPr>
      <w:rFonts w:ascii="Inter" w:hAnsi="Inter" w:eastAsia="Inter" w:cs="Inter"/>
      <w:b/>
      <w:bCs/>
      <w:i/>
      <w:iCs/>
      <w:color w:val="000000"/>
    </w:rPr>
  </w:style>
  <w:style w:type="character" w:styleId="SubtleReference">
    <w:name w:val="Subtle Reference"/>
    <w:basedOn w:val="DefaultParagraphFont"/>
    <w:uiPriority w:val="31"/>
    <w:qFormat/>
    <w:rsid w:val="00FC693F"/>
    <w:rPr>
      <w:rFonts w:ascii="Inter" w:hAnsi="Inter" w:eastAsia="Inter" w:cs="Inter"/>
      <w:smallCaps/>
      <w:color w:val="000000"/>
      <w:u w:val="single"/>
    </w:rPr>
  </w:style>
  <w:style w:type="character" w:styleId="IntenseReference">
    <w:name w:val="Intense Reference"/>
    <w:basedOn w:val="DefaultParagraphFont"/>
    <w:uiPriority w:val="32"/>
    <w:qFormat/>
    <w:rsid w:val="00FC693F"/>
    <w:rPr>
      <w:rFonts w:ascii="Inter" w:hAnsi="Inter" w:eastAsia="Inter" w:cs="Inter"/>
      <w:b/>
      <w:bCs/>
      <w:smallCaps/>
      <w:color w:val="000000"/>
      <w:spacing w:val="5"/>
      <w:u w:val="single"/>
    </w:rPr>
  </w:style>
  <w:style w:type="character" w:styleId="BookTitle">
    <w:name w:val="Book Title"/>
    <w:basedOn w:val="DefaultParagraphFont"/>
    <w:uiPriority w:val="33"/>
    <w:qFormat/>
    <w:rsid w:val="00FC693F"/>
    <w:rPr>
      <w:rFonts w:ascii="Inter" w:hAnsi="Inter" w:eastAsia="Inter" w:cs="Inter"/>
      <w:b/>
      <w:bCs/>
      <w:smallCaps/>
      <w:color w:val="000000"/>
      <w:spacing w:val="5"/>
    </w:rPr>
  </w:style>
  <w:style w:type="paragraph" w:styleId="TOCHeading">
    <w:name w:val="TOC Heading"/>
    <w:basedOn w:val="Heading1"/>
    <w:next w:val="Normal"/>
    <w:uiPriority w:val="39"/>
    <w:semiHidden/>
    <w:unhideWhenUsed/>
    <w:qFormat/>
    <w:rsid w:val="00FC693F"/>
    <w:pPr>
      <w:widowControl/>
      <w:outlineLvl w:val="9"/>
    </w:pPr>
    <w:rPr>
      <w:rFonts w:ascii="Inter" w:hAnsi="Inter" w:eastAsia="Inter" w:cs="Inte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before="0" w:after="300" w:line="300" w:lineRule="auto"/>
    </w:pPr>
    <w:rPr>
      <w:rFonts w:ascii="Inter" w:hAnsi="Inter" w:eastAsia="Inter" w:cs="Inter"/>
      <w:color w:val="18181B"/>
      <w:sz w:val="24"/>
    </w:rPr>
  </w:style>
  <w:style w:type="paragraph" w:customStyle="1" w:styleId="Eyebrow">
    <w:name w:val="Eyebrow"/>
    <w:pPr>
      <w:spacing w:before="0" w:after="160" w:line="264" w:lineRule="auto"/>
    </w:pPr>
    <w:rPr>
      <w:rFonts w:ascii="Inter" w:hAnsi="Inter" w:eastAsia="Inter" w:cs="Inter"/>
      <w:color w:val="18181B"/>
      <w:sz w:val="18"/>
    </w:rPr>
  </w:style>
  <w:style w:type="paragraph" w:customStyle="1" w:styleId="Fieldlabel">
    <w:name w:val="Field label"/>
    <w:pPr>
      <w:keepNext/>
      <w:spacing w:before="140" w:after="0" w:line="264" w:lineRule="auto"/>
    </w:pPr>
    <w:rPr>
      <w:rFonts w:ascii="Inter" w:hAnsi="Inter" w:eastAsia="Inter" w:cs="Inter"/>
      <w:b/>
      <w:color w:val="18181B"/>
      <w:sz w:val="19"/>
    </w:rPr>
  </w:style>
  <w:style w:type="paragraph" w:customStyle="1" w:styleId="Entry">
    <w:name w:val="Entry"/>
    <w:pPr>
      <w:spacing w:before="0" w:after="60" w:line="312" w:lineRule="auto"/>
    </w:pPr>
    <w:rPr>
      <w:rFonts w:ascii="Inter" w:hAnsi="Inter" w:eastAsia="Inter" w:cs="Inter"/>
      <w:color w:val="18181B"/>
      <w:sz w:val="22"/>
    </w:rPr>
  </w:style>
  <w:style w:type="paragraph" w:customStyle="1" w:styleId="Tablecopy">
    <w:name w:val="Table copy"/>
    <w:pPr>
      <w:spacing w:before="0" w:after="40" w:line="269" w:lineRule="auto"/>
    </w:pPr>
    <w:rPr>
      <w:rFonts w:ascii="Inter" w:hAnsi="Inter" w:eastAsia="Inter" w:cs="Inter"/>
      <w:color w:val="18181B"/>
      <w:sz w:val="21"/>
    </w:rPr>
  </w:style>
  <w:style w:type="paragraph" w:customStyle="1" w:styleId="Tablegap">
    <w:name w:val="Table gap"/>
    <w:pPr>
      <w:spacing w:before="0" w:after="60" w:line="240" w:lineRule="auto"/>
    </w:pPr>
    <w:rPr>
      <w:rFonts w:ascii="Inter" w:hAnsi="Inter" w:eastAsia="Inter" w:cs="Inter"/>
      <w:color w:val="18181B"/>
      <w:sz w:val="2"/>
    </w:rPr>
  </w:style>
  <w:style w:type="paragraph" w:customStyle="1" w:styleId="Small">
    <w:name w:val="Small"/>
    <w:pPr>
      <w:spacing w:before="0" w:after="120" w:line="276" w:lineRule="auto"/>
    </w:pPr>
    <w:rPr>
      <w:rFonts w:ascii="Inter" w:hAnsi="Inter" w:eastAsia="Inter" w:cs="Inter"/>
      <w:color w:val="18181B"/>
      <w:sz w:val="18"/>
    </w:rPr>
  </w:style>
  <w:style w:type="paragraph" w:customStyle="1" w:styleId="Checklist">
    <w:name w:val="Checklist"/>
    <w:pPr>
      <w:spacing w:before="0" w:after="100" w:line="276" w:lineRule="auto"/>
    </w:pPr>
    <w:rPr>
      <w:rFonts w:ascii="Inter" w:hAnsi="Inter" w:eastAsia="Inter" w:cs="Inter"/>
      <w:color w:val="18181B"/>
      <w:sz w:val="21"/>
    </w:rPr>
  </w:style>
  <w:style w:type="paragraph" w:customStyle="1" w:styleId="Step">
    <w:name w:val="Step"/>
    <w:pPr>
      <w:keepNext/>
      <w:spacing w:before="120" w:after="80" w:line="278" w:lineRule="auto"/>
    </w:pPr>
    <w:rPr>
      <w:rFonts w:ascii="Inter" w:hAnsi="Inter" w:eastAsia="Inter" w:cs="Inter"/>
      <w:color w:val="18181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Inter1" Type="http://schemas.openxmlformats.org/officeDocument/2006/relationships/font" Target="fonts/Inter-1.odttf"/><Relationship Id="rIdInter2" Type="http://schemas.openxmlformats.org/officeDocument/2006/relationships/font" Target="fonts/Inter-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Conversion Experiment Brief</dc:title>
  <dc:subject>Agree the hypothesis, measurement and decision rule before exposing users to a change.</dc:subject>
  <dc:creator>MT BYTES</dc:creator>
  <cp:keywords/>
  <dc:description/>
  <cp:lastModifiedBy>MT BYTES</cp:lastModifiedBy>
  <cp:revision>1</cp:revision>
  <dcterms:created xsi:type="dcterms:W3CDTF">2013-12-23T23:15:00Z</dcterms:created>
  <dcterms:modified xsi:type="dcterms:W3CDTF">2013-12-23T23:15:00Z</dcterms:modified>
  <cp:category/>
</cp:coreProperties>
</file>