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rPr>
          <w:rFonts w:ascii="Inter" w:hAnsi="Inter" w:eastAsia="Inter" w:cs="Inter"/>
          <w:b w:val="0"/>
          <w:color w:val="18181B"/>
        </w:rPr>
        <w:t>INDUSTRY OPERATIONS</w:t>
      </w:r>
    </w:p>
    <w:p>
      <w:pPr>
        <w:pStyle w:val="Title"/>
      </w:pPr>
      <w:r>
        <w:t>Real Estate Lead</w:t>
        <w:br/>
        <w:t>Management Workflow</w:t>
      </w:r>
    </w:p>
    <w:p>
      <w:pPr>
        <w:pStyle w:val="Deck"/>
      </w:pPr>
      <w:r>
        <w:rPr>
          <w:rFonts w:ascii="Inter" w:hAnsi="Inter" w:eastAsia="Inter" w:cs="Inter"/>
          <w:b w:val="0"/>
          <w:color w:val="18181B"/>
        </w:rPr>
        <w:t>An operating standard for property enquiries, viewings and accountable follow-through.</w:t>
      </w:r>
    </w:p>
    <w:p>
      <w:pPr>
        <w:pStyle w:val="Heading2"/>
      </w:pPr>
      <w:r>
        <w:t>Set the operating agreement</w:t>
      </w:r>
    </w:p>
    <w:p>
      <w:r>
        <w:rPr>
          <w:rFonts w:ascii="Inter" w:hAnsi="Inter" w:eastAsia="Inter" w:cs="Inter"/>
          <w:b w:val="0"/>
          <w:color w:val="18181B"/>
        </w:rPr>
        <w:t>Every live enquiry needs a named owner, a verified status and a next action. Use this operating standard to manage those decisions through a completed transaction or a documented close.</w:t>
      </w:r>
    </w:p>
    <w:p>
      <w:pPr>
        <w:pStyle w:val="Heading2"/>
      </w:pPr>
      <w:r>
        <w:t>Keep the records distinct</w:t>
      </w:r>
    </w:p>
    <w:p>
      <w:r>
        <w:rPr>
          <w:rFonts w:ascii="Inter" w:hAnsi="Inter" w:eastAsia="Inter" w:cs="Inter"/>
          <w:b w:val="0"/>
          <w:color w:val="18181B"/>
        </w:rPr>
        <w:t>Maintain a person or organization record for identity and contact preferences, a property record for listing facts, and an enquiry or opportunity record for the specific need. One person may have several legitimate enquiries. Do not merge them into one sales outcome simply because the contact details match.</w:t>
      </w:r>
    </w:p>
    <w:p>
      <w:pPr>
        <w:pStyle w:val="Heading2"/>
      </w:pPr>
      <w:r>
        <w:t>Agree service rules before configuring automation</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592"/>
        <w:gridCol w:w="7344"/>
      </w:tblGrid>
      <w:tr>
        <w:trPr>
          <w:cantSplit/>
          <w:tblHeader/>
        </w:trPr>
        <w:tc>
          <w:tcPr>
            <w:tcW w:type="dxa" w:w="2592"/>
            <w:vAlign w:val="center"/>
            <w:shd w:fill="F4F4F5"/>
          </w:tcPr>
          <w:p>
            <w:pPr>
              <w:pStyle w:val="Tablecopy"/>
            </w:pPr>
            <w:r/>
            <w:r>
              <w:rPr>
                <w:rFonts w:ascii="Inter" w:hAnsi="Inter" w:eastAsia="Inter" w:cs="Inter"/>
                <w:b/>
                <w:color w:val="18181B"/>
                <w:sz w:val="21"/>
              </w:rPr>
              <w:t>Operating rule</w:t>
            </w:r>
          </w:p>
        </w:tc>
        <w:tc>
          <w:tcPr>
            <w:tcW w:type="dxa" w:w="7344"/>
            <w:vAlign w:val="center"/>
            <w:shd w:fill="F4F4F5"/>
          </w:tcPr>
          <w:p>
            <w:pPr>
              <w:pStyle w:val="Tablecopy"/>
            </w:pPr>
            <w:r/>
            <w:r>
              <w:rPr>
                <w:rFonts w:ascii="Inter" w:hAnsi="Inter" w:eastAsia="Inter" w:cs="Inter"/>
                <w:b/>
                <w:color w:val="18181B"/>
                <w:sz w:val="21"/>
              </w:rPr>
              <w:t>Decision the team must own</w:t>
            </w:r>
          </w:p>
        </w:tc>
      </w:tr>
      <w:tr>
        <w:trPr>
          <w:cantSplit/>
        </w:trPr>
        <w:tc>
          <w:tcPr>
            <w:tcW w:type="dxa" w:w="2592"/>
            <w:vAlign w:val="center"/>
          </w:tcPr>
          <w:p>
            <w:pPr>
              <w:pStyle w:val="Tablecopy"/>
            </w:pPr>
            <w:r/>
            <w:r>
              <w:rPr>
                <w:rFonts w:ascii="Inter" w:hAnsi="Inter" w:eastAsia="Inter" w:cs="Inter"/>
                <w:b w:val="0"/>
                <w:color w:val="18181B"/>
                <w:sz w:val="21"/>
              </w:rPr>
              <w:t>Coverage</w:t>
            </w:r>
          </w:p>
        </w:tc>
        <w:tc>
          <w:tcPr>
            <w:tcW w:type="dxa" w:w="7344"/>
            <w:vAlign w:val="center"/>
          </w:tcPr>
          <w:p>
            <w:pPr>
              <w:pStyle w:val="Tablecopy"/>
            </w:pPr>
            <w:r/>
            <w:r>
              <w:rPr>
                <w:rFonts w:ascii="Inter" w:hAnsi="Inter" w:eastAsia="Inter" w:cs="Inter"/>
                <w:b w:val="0"/>
                <w:color w:val="18181B"/>
                <w:sz w:val="21"/>
              </w:rPr>
              <w:t>Business hours, supported channels and the route for enquiries received outside coverage.</w:t>
            </w:r>
          </w:p>
        </w:tc>
      </w:tr>
      <w:tr>
        <w:trPr>
          <w:cantSplit/>
        </w:trPr>
        <w:tc>
          <w:tcPr>
            <w:tcW w:type="dxa" w:w="2592"/>
            <w:vAlign w:val="center"/>
          </w:tcPr>
          <w:p>
            <w:pPr>
              <w:pStyle w:val="Tablecopy"/>
            </w:pPr>
            <w:r/>
            <w:r>
              <w:rPr>
                <w:rFonts w:ascii="Inter" w:hAnsi="Inter" w:eastAsia="Inter" w:cs="Inter"/>
                <w:b w:val="0"/>
                <w:color w:val="18181B"/>
                <w:sz w:val="21"/>
              </w:rPr>
              <w:t>Response</w:t>
            </w:r>
          </w:p>
        </w:tc>
        <w:tc>
          <w:tcPr>
            <w:tcW w:type="dxa" w:w="7344"/>
            <w:vAlign w:val="center"/>
          </w:tcPr>
          <w:p>
            <w:pPr>
              <w:pStyle w:val="Tablecopy"/>
            </w:pPr>
            <w:r/>
            <w:r>
              <w:rPr>
                <w:rFonts w:ascii="Inter" w:hAnsi="Inter" w:eastAsia="Inter" w:cs="Inter"/>
                <w:b w:val="0"/>
                <w:color w:val="18181B"/>
                <w:sz w:val="21"/>
              </w:rPr>
              <w:t>Target response time, how its clock is measured and escalation when the target is missed.</w:t>
            </w:r>
          </w:p>
        </w:tc>
      </w:tr>
      <w:tr>
        <w:trPr>
          <w:cantSplit/>
        </w:trPr>
        <w:tc>
          <w:tcPr>
            <w:tcW w:type="dxa" w:w="2592"/>
            <w:vAlign w:val="center"/>
          </w:tcPr>
          <w:p>
            <w:pPr>
              <w:pStyle w:val="Tablecopy"/>
            </w:pPr>
            <w:r/>
            <w:r>
              <w:rPr>
                <w:rFonts w:ascii="Inter" w:hAnsi="Inter" w:eastAsia="Inter" w:cs="Inter"/>
                <w:b w:val="0"/>
                <w:color w:val="18181B"/>
                <w:sz w:val="21"/>
              </w:rPr>
              <w:t>Ownership</w:t>
            </w:r>
          </w:p>
        </w:tc>
        <w:tc>
          <w:tcPr>
            <w:tcW w:type="dxa" w:w="7344"/>
            <w:vAlign w:val="center"/>
          </w:tcPr>
          <w:p>
            <w:pPr>
              <w:pStyle w:val="Tablecopy"/>
            </w:pPr>
            <w:r/>
            <w:r>
              <w:rPr>
                <w:rFonts w:ascii="Inter" w:hAnsi="Inter" w:eastAsia="Inter" w:cs="Inter"/>
                <w:b w:val="0"/>
                <w:color w:val="18181B"/>
                <w:sz w:val="21"/>
              </w:rPr>
              <w:t>Assignment method, capacity limits, backup coverage and transfer acceptance.</w:t>
            </w:r>
          </w:p>
        </w:tc>
      </w:tr>
      <w:tr>
        <w:trPr>
          <w:cantSplit/>
        </w:trPr>
        <w:tc>
          <w:tcPr>
            <w:tcW w:type="dxa" w:w="2592"/>
            <w:vAlign w:val="center"/>
          </w:tcPr>
          <w:p>
            <w:pPr>
              <w:pStyle w:val="Tablecopy"/>
            </w:pPr>
            <w:r/>
            <w:r>
              <w:rPr>
                <w:rFonts w:ascii="Inter" w:hAnsi="Inter" w:eastAsia="Inter" w:cs="Inter"/>
                <w:b w:val="0"/>
                <w:color w:val="18181B"/>
                <w:sz w:val="21"/>
              </w:rPr>
              <w:t>Contact permission</w:t>
            </w:r>
          </w:p>
        </w:tc>
        <w:tc>
          <w:tcPr>
            <w:tcW w:type="dxa" w:w="7344"/>
            <w:vAlign w:val="center"/>
          </w:tcPr>
          <w:p>
            <w:pPr>
              <w:pStyle w:val="Tablecopy"/>
            </w:pPr>
            <w:r/>
            <w:r>
              <w:rPr>
                <w:rFonts w:ascii="Inter" w:hAnsi="Inter" w:eastAsia="Inter" w:cs="Inter"/>
                <w:b w:val="0"/>
                <w:color w:val="18181B"/>
                <w:sz w:val="21"/>
              </w:rPr>
              <w:t>Permitted purpose and channel, preference checks and the owner of local policy review.</w:t>
            </w:r>
          </w:p>
        </w:tc>
      </w:tr>
      <w:tr>
        <w:trPr>
          <w:cantSplit/>
        </w:trPr>
        <w:tc>
          <w:tcPr>
            <w:tcW w:type="dxa" w:w="2592"/>
            <w:vAlign w:val="center"/>
          </w:tcPr>
          <w:p>
            <w:pPr>
              <w:pStyle w:val="Tablecopy"/>
            </w:pPr>
            <w:r/>
            <w:r>
              <w:rPr>
                <w:rFonts w:ascii="Inter" w:hAnsi="Inter" w:eastAsia="Inter" w:cs="Inter"/>
                <w:b w:val="0"/>
                <w:color w:val="18181B"/>
                <w:sz w:val="21"/>
              </w:rPr>
              <w:t>Record access</w:t>
            </w:r>
          </w:p>
        </w:tc>
        <w:tc>
          <w:tcPr>
            <w:tcW w:type="dxa" w:w="7344"/>
            <w:vAlign w:val="center"/>
          </w:tcPr>
          <w:p>
            <w:pPr>
              <w:pStyle w:val="Tablecopy"/>
            </w:pPr>
            <w:r/>
            <w:r>
              <w:rPr>
                <w:rFonts w:ascii="Inter" w:hAnsi="Inter" w:eastAsia="Inter" w:cs="Inter"/>
                <w:b w:val="0"/>
                <w:color w:val="18181B"/>
                <w:sz w:val="21"/>
              </w:rPr>
              <w:t>Who can view, change, export or delete contact and transaction information.</w:t>
            </w:r>
          </w:p>
        </w:tc>
      </w:tr>
    </w:tbl>
    <w:p>
      <w:pPr>
        <w:pStyle w:val="Tablegap"/>
      </w:pPr>
    </w:p>
    <w:p>
      <w:pPr>
        <w:pStyle w:val="Fieldlabel"/>
      </w:pPr>
      <w:r>
        <w:rPr>
          <w:rFonts w:ascii="Inter" w:hAnsi="Inter" w:eastAsia="Inter" w:cs="Inter"/>
          <w:b/>
          <w:color w:val="18181B"/>
        </w:rPr>
        <w:t>Business unit / market • workflow owner • approving manager</w:t>
      </w:r>
    </w:p>
    <w:sdt>
      <w:sdtPr>
        <w:alias w:val="Business unit / market • workflow owner • approving manager"/>
        <w:tag w:val="field-5f5e83756ddf"/>
        <w:id w:val="8286998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Coverage and response rule • escalation owner</w:t>
      </w:r>
    </w:p>
    <w:sdt>
      <w:sdtPr>
        <w:alias w:val="Coverage and response rule • escalation owner"/>
        <w:tag w:val="field-6b0363b30f62"/>
        <w:id w:val="113265023"/>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Approved contact policy • review owner • effective date</w:t>
      </w:r>
    </w:p>
    <w:sdt>
      <w:sdtPr>
        <w:alias w:val="Approved contact policy • review owner • effective date"/>
        <w:tag w:val="field-a63ddd2110ee"/>
        <w:id w:val="260111404"/>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Approve local privacy, housing, marketing, identity and retention rules before automated outreach.</w:t>
      </w:r>
    </w:p>
    <w:p>
      <w:pPr>
        <w:pStyle w:val="Eyebrow"/>
        <w:pageBreakBefore/>
      </w:pPr>
      <w:r>
        <w:rPr>
          <w:rFonts w:ascii="Inter" w:hAnsi="Inter" w:eastAsia="Inter" w:cs="Inter"/>
          <w:b w:val="0"/>
          <w:color w:val="18181B"/>
        </w:rPr>
        <w:t>02 / Lead handling and service control</w:t>
      </w:r>
    </w:p>
    <w:p>
      <w:pPr>
        <w:pStyle w:val="Heading1"/>
      </w:pPr>
      <w:r>
        <w:t>Capture and route every enquiry</w:t>
      </w:r>
    </w:p>
    <w:p>
      <w:pPr>
        <w:pStyle w:val="Deck"/>
      </w:pPr>
      <w:r>
        <w:rPr>
          <w:rFonts w:ascii="Inter" w:hAnsi="Inter" w:eastAsia="Inter" w:cs="Inter"/>
          <w:b w:val="0"/>
          <w:color w:val="18181B"/>
        </w:rPr>
        <w:t>Preserve the request, assign responsibility and keep duplicate handling controlled.</w:t>
      </w:r>
    </w:p>
    <w:p>
      <w:pPr>
        <w:pStyle w:val="Step"/>
      </w:pPr>
      <w:r>
        <w:rPr>
          <w:rFonts w:ascii="Inter" w:hAnsi="Inter" w:eastAsia="Inter" w:cs="Inter"/>
          <w:b/>
          <w:color w:val="18181B"/>
        </w:rPr>
        <w:t>Capture the original context</w:t>
      </w:r>
    </w:p>
    <w:p>
      <w:r>
        <w:rPr>
          <w:rFonts w:ascii="Inter" w:hAnsi="Inter" w:eastAsia="Inter" w:cs="Inter"/>
          <w:b w:val="0"/>
          <w:color w:val="18181B"/>
        </w:rPr>
        <w:t>Record the received time, source channel, source identifier, requested property or service, message and usable contact route. Retain enough source evidence to understand the enquiry without copying unnecessary personal information into general notes.</w:t>
      </w:r>
    </w:p>
    <w:p>
      <w:pPr>
        <w:pStyle w:val="Step"/>
      </w:pPr>
      <w:r>
        <w:rPr>
          <w:rFonts w:ascii="Inter" w:hAnsi="Inter" w:eastAsia="Inter" w:cs="Inter"/>
          <w:b/>
          <w:color w:val="18181B"/>
        </w:rPr>
        <w:t>Check identity and preferences</w:t>
      </w:r>
    </w:p>
    <w:p>
      <w:r>
        <w:rPr>
          <w:rFonts w:ascii="Inter" w:hAnsi="Inter" w:eastAsia="Inter" w:cs="Inter"/>
          <w:b w:val="0"/>
          <w:color w:val="18181B"/>
        </w:rPr>
        <w:t>Match on reliable identifiers and review ambiguous matches. A shared phone number, similar name or household address does not establish that records belong to the same person. Carry forward applicable contact restrictions when a duplicate is confirmed.</w:t>
      </w:r>
    </w:p>
    <w:p>
      <w:pPr>
        <w:pStyle w:val="Step"/>
      </w:pPr>
      <w:r>
        <w:rPr>
          <w:rFonts w:ascii="Inter" w:hAnsi="Inter" w:eastAsia="Inter" w:cs="Inter"/>
          <w:b/>
          <w:color w:val="18181B"/>
        </w:rPr>
        <w:t>Assign a responsible owner</w:t>
      </w:r>
    </w:p>
    <w:p>
      <w:r>
        <w:rPr>
          <w:rFonts w:ascii="Inter" w:hAnsi="Inter" w:eastAsia="Inter" w:cs="Inter"/>
          <w:b w:val="0"/>
          <w:color w:val="18181B"/>
        </w:rPr>
        <w:t>Route by the team’s approved service coverage, requested property, language support and available capacity. Require the receiving owner to accept the assignment. Until acceptance, the originating queue remains responsible; a routing event alone is not a completed handoff.</w:t>
      </w:r>
    </w:p>
    <w:p>
      <w:pPr>
        <w:pStyle w:val="Step"/>
      </w:pPr>
      <w:r>
        <w:rPr>
          <w:rFonts w:ascii="Inter" w:hAnsi="Inter" w:eastAsia="Inter" w:cs="Inter"/>
          <w:b/>
          <w:color w:val="18181B"/>
        </w:rPr>
        <w:t>Acknowledge and create the next action</w:t>
      </w:r>
    </w:p>
    <w:p>
      <w:r>
        <w:rPr>
          <w:rFonts w:ascii="Inter" w:hAnsi="Inter" w:eastAsia="Inter" w:cs="Inter"/>
          <w:b w:val="0"/>
          <w:color w:val="18181B"/>
        </w:rPr>
        <w:t>Confirm what was received and what the team will do next using an allowed channel. Set an action with an owner and due time. Keep an automated acknowledgement distinct from a meaningful response that addresses the request.</w:t>
      </w:r>
    </w:p>
    <w:p>
      <w:pPr>
        <w:pStyle w:val="Heading2"/>
      </w:pPr>
      <w:r>
        <w:t>Minimum enquiry record</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304"/>
        <w:gridCol w:w="7632"/>
      </w:tblGrid>
      <w:tr>
        <w:trPr>
          <w:cantSplit/>
          <w:tblHeader/>
        </w:trPr>
        <w:tc>
          <w:tcPr>
            <w:tcW w:type="dxa" w:w="2304"/>
            <w:vAlign w:val="center"/>
            <w:shd w:fill="F4F4F5"/>
          </w:tcPr>
          <w:p>
            <w:pPr>
              <w:pStyle w:val="Tablecopy"/>
            </w:pPr>
            <w:r/>
            <w:r>
              <w:rPr>
                <w:rFonts w:ascii="Inter" w:hAnsi="Inter" w:eastAsia="Inter" w:cs="Inter"/>
                <w:b/>
                <w:color w:val="18181B"/>
                <w:sz w:val="21"/>
              </w:rPr>
              <w:t>Record group</w:t>
            </w:r>
          </w:p>
        </w:tc>
        <w:tc>
          <w:tcPr>
            <w:tcW w:type="dxa" w:w="7632"/>
            <w:vAlign w:val="center"/>
            <w:shd w:fill="F4F4F5"/>
          </w:tcPr>
          <w:p>
            <w:pPr>
              <w:pStyle w:val="Tablecopy"/>
            </w:pPr>
            <w:r/>
            <w:r>
              <w:rPr>
                <w:rFonts w:ascii="Inter" w:hAnsi="Inter" w:eastAsia="Inter" w:cs="Inter"/>
                <w:b/>
                <w:color w:val="18181B"/>
                <w:sz w:val="21"/>
              </w:rPr>
              <w:t>Required fields</w:t>
            </w:r>
          </w:p>
        </w:tc>
      </w:tr>
      <w:tr>
        <w:trPr>
          <w:cantSplit/>
        </w:trPr>
        <w:tc>
          <w:tcPr>
            <w:tcW w:type="dxa" w:w="2304"/>
            <w:vAlign w:val="center"/>
          </w:tcPr>
          <w:p>
            <w:pPr>
              <w:pStyle w:val="Tablecopy"/>
            </w:pPr>
            <w:r/>
            <w:r>
              <w:rPr>
                <w:rFonts w:ascii="Inter" w:hAnsi="Inter" w:eastAsia="Inter" w:cs="Inter"/>
                <w:b w:val="0"/>
                <w:color w:val="18181B"/>
                <w:sz w:val="21"/>
              </w:rPr>
              <w:t>Identity and request</w:t>
            </w:r>
          </w:p>
        </w:tc>
        <w:tc>
          <w:tcPr>
            <w:tcW w:type="dxa" w:w="7632"/>
            <w:vAlign w:val="center"/>
          </w:tcPr>
          <w:p>
            <w:pPr>
              <w:pStyle w:val="Tablecopy"/>
            </w:pPr>
            <w:r/>
            <w:r>
              <w:rPr>
                <w:rFonts w:ascii="Inter" w:hAnsi="Inter" w:eastAsia="Inter" w:cs="Inter"/>
                <w:b w:val="0"/>
                <w:color w:val="18181B"/>
                <w:sz w:val="21"/>
              </w:rPr>
              <w:t>Contact record, source, received time, property / need and original request.</w:t>
            </w:r>
          </w:p>
        </w:tc>
      </w:tr>
      <w:tr>
        <w:trPr>
          <w:cantSplit/>
        </w:trPr>
        <w:tc>
          <w:tcPr>
            <w:tcW w:type="dxa" w:w="2304"/>
            <w:vAlign w:val="center"/>
          </w:tcPr>
          <w:p>
            <w:pPr>
              <w:pStyle w:val="Tablecopy"/>
            </w:pPr>
            <w:r/>
            <w:r>
              <w:rPr>
                <w:rFonts w:ascii="Inter" w:hAnsi="Inter" w:eastAsia="Inter" w:cs="Inter"/>
                <w:b w:val="0"/>
                <w:color w:val="18181B"/>
                <w:sz w:val="21"/>
              </w:rPr>
              <w:t>Responsibility</w:t>
            </w:r>
          </w:p>
        </w:tc>
        <w:tc>
          <w:tcPr>
            <w:tcW w:type="dxa" w:w="7632"/>
            <w:vAlign w:val="center"/>
          </w:tcPr>
          <w:p>
            <w:pPr>
              <w:pStyle w:val="Tablecopy"/>
            </w:pPr>
            <w:r/>
            <w:r>
              <w:rPr>
                <w:rFonts w:ascii="Inter" w:hAnsi="Inter" w:eastAsia="Inter" w:cs="Inter"/>
                <w:b w:val="0"/>
                <w:color w:val="18181B"/>
                <w:sz w:val="21"/>
              </w:rPr>
              <w:t>Current owner, accepted assignment time, stage and next action.</w:t>
            </w:r>
          </w:p>
        </w:tc>
      </w:tr>
      <w:tr>
        <w:trPr>
          <w:cantSplit/>
        </w:trPr>
        <w:tc>
          <w:tcPr>
            <w:tcW w:type="dxa" w:w="2304"/>
            <w:vAlign w:val="center"/>
          </w:tcPr>
          <w:p>
            <w:pPr>
              <w:pStyle w:val="Tablecopy"/>
            </w:pPr>
            <w:r/>
            <w:r>
              <w:rPr>
                <w:rFonts w:ascii="Inter" w:hAnsi="Inter" w:eastAsia="Inter" w:cs="Inter"/>
                <w:b w:val="0"/>
                <w:color w:val="18181B"/>
                <w:sz w:val="21"/>
              </w:rPr>
              <w:t>Communication</w:t>
            </w:r>
          </w:p>
        </w:tc>
        <w:tc>
          <w:tcPr>
            <w:tcW w:type="dxa" w:w="7632"/>
            <w:vAlign w:val="center"/>
          </w:tcPr>
          <w:p>
            <w:pPr>
              <w:pStyle w:val="Tablecopy"/>
            </w:pPr>
            <w:r/>
            <w:r>
              <w:rPr>
                <w:rFonts w:ascii="Inter" w:hAnsi="Inter" w:eastAsia="Inter" w:cs="Inter"/>
                <w:b w:val="0"/>
                <w:color w:val="18181B"/>
                <w:sz w:val="21"/>
              </w:rPr>
              <w:t>Allowed purpose / channel, preference evidence, last meaningful response and contact history.</w:t>
            </w:r>
          </w:p>
        </w:tc>
      </w:tr>
      <w:tr>
        <w:trPr>
          <w:cantSplit/>
        </w:trPr>
        <w:tc>
          <w:tcPr>
            <w:tcW w:type="dxa" w:w="2304"/>
            <w:vAlign w:val="center"/>
          </w:tcPr>
          <w:p>
            <w:pPr>
              <w:pStyle w:val="Tablecopy"/>
            </w:pPr>
            <w:r/>
            <w:r>
              <w:rPr>
                <w:rFonts w:ascii="Inter" w:hAnsi="Inter" w:eastAsia="Inter" w:cs="Inter"/>
                <w:b w:val="0"/>
                <w:color w:val="18181B"/>
                <w:sz w:val="21"/>
              </w:rPr>
              <w:t>Outcome</w:t>
            </w:r>
          </w:p>
        </w:tc>
        <w:tc>
          <w:tcPr>
            <w:tcW w:type="dxa" w:w="7632"/>
            <w:vAlign w:val="center"/>
          </w:tcPr>
          <w:p>
            <w:pPr>
              <w:pStyle w:val="Tablecopy"/>
            </w:pPr>
            <w:r/>
            <w:r>
              <w:rPr>
                <w:rFonts w:ascii="Inter" w:hAnsi="Inter" w:eastAsia="Inter" w:cs="Inter"/>
                <w:b w:val="0"/>
                <w:color w:val="18181B"/>
                <w:sz w:val="21"/>
              </w:rPr>
              <w:t>Stage-entry dates, viewing result, transaction reference or close reason.</w:t>
            </w:r>
          </w:p>
        </w:tc>
      </w:tr>
    </w:tbl>
    <w:p>
      <w:pPr>
        <w:pStyle w:val="Tablegap"/>
      </w:pPr>
    </w:p>
    <w:p>
      <w:pPr>
        <w:pStyle w:val="Fieldlabel"/>
      </w:pPr>
      <w:r>
        <w:rPr>
          <w:rFonts w:ascii="Inter" w:hAnsi="Inter" w:eastAsia="Inter" w:cs="Inter"/>
          <w:b/>
          <w:color w:val="18181B"/>
        </w:rPr>
        <w:t>Routing exception • responsible queue • resolution deadline</w:t>
      </w:r>
    </w:p>
    <w:sdt>
      <w:sdtPr>
        <w:alias w:val="Routing exception • responsible queue • resolution deadline"/>
        <w:tag w:val="field-1b6b27915fd6"/>
        <w:id w:val="100023795"/>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Quarantine incomplete imports, failed integrations and unassigned enquiries for review. Do not let a failed automation silently mark work as complete.</w:t>
      </w:r>
    </w:p>
    <w:p>
      <w:pPr>
        <w:pStyle w:val="Eyebrow"/>
        <w:pageBreakBefore/>
      </w:pPr>
      <w:r>
        <w:rPr>
          <w:rFonts w:ascii="Inter" w:hAnsi="Inter" w:eastAsia="Inter" w:cs="Inter"/>
          <w:b w:val="0"/>
          <w:color w:val="18181B"/>
        </w:rPr>
        <w:t>03 / Lead handling and service control</w:t>
      </w:r>
    </w:p>
    <w:p>
      <w:pPr>
        <w:pStyle w:val="Heading1"/>
      </w:pPr>
      <w:r>
        <w:t>Confirm the property need</w:t>
      </w:r>
    </w:p>
    <w:p>
      <w:pPr>
        <w:pStyle w:val="Deck"/>
      </w:pPr>
      <w:r>
        <w:rPr>
          <w:rFonts w:ascii="Inter" w:hAnsi="Inter" w:eastAsia="Inter" w:cs="Inter"/>
          <w:b w:val="0"/>
          <w:color w:val="18181B"/>
        </w:rPr>
        <w:t>Record what the person confirms and make the next step specific.</w:t>
      </w:r>
    </w:p>
    <w:p>
      <w:pPr>
        <w:pStyle w:val="Heading2"/>
      </w:pPr>
      <w:r>
        <w:t>Ask about the task they want to complete</w:t>
      </w:r>
    </w:p>
    <w:p>
      <w:r>
        <w:rPr>
          <w:rFonts w:ascii="Inter" w:hAnsi="Inter" w:eastAsia="Inter" w:cs="Inter"/>
          <w:b w:val="0"/>
          <w:color w:val="18181B"/>
        </w:rPr>
        <w:t>Clarify whether the enquiry concerns buying, selling, leasing or another supported service. Ask about the required location, property characteristics, timing and constraints relevant to the request. Record a budget or price range when appropriate and voluntarily provided. Distinguish confirmed facts from information still awaiting verification.</w:t>
      </w:r>
    </w:p>
    <w:p>
      <w:r>
        <w:rPr>
          <w:rFonts w:ascii="Inter" w:hAnsi="Inter" w:eastAsia="Inter" w:cs="Inter"/>
          <w:b w:val="0"/>
          <w:color w:val="18181B"/>
        </w:rPr>
        <w:t>Use consistent, relevant criteria. Do not rank or steer people using protected characteristics or assumed proxies for them. Accessibility or communication needs should guide the support offered, rather than reduce the person’s access to service. Route requests involving eligibility or financing decisions to the authorized process.</w:t>
      </w:r>
    </w:p>
    <w:p>
      <w:pPr>
        <w:pStyle w:val="Heading2"/>
      </w:pPr>
      <w:r>
        <w:t>Conversation guide</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016"/>
        <w:gridCol w:w="7920"/>
      </w:tblGrid>
      <w:tr>
        <w:trPr>
          <w:cantSplit/>
          <w:tblHeader/>
        </w:trPr>
        <w:tc>
          <w:tcPr>
            <w:tcW w:type="dxa" w:w="2016"/>
            <w:vAlign w:val="center"/>
            <w:shd w:fill="F4F4F5"/>
          </w:tcPr>
          <w:p>
            <w:pPr>
              <w:pStyle w:val="Tablecopy"/>
            </w:pPr>
            <w:r/>
            <w:r>
              <w:rPr>
                <w:rFonts w:ascii="Inter" w:hAnsi="Inter" w:eastAsia="Inter" w:cs="Inter"/>
                <w:b/>
                <w:color w:val="18181B"/>
                <w:sz w:val="21"/>
              </w:rPr>
              <w:t>Purpose</w:t>
            </w:r>
          </w:p>
        </w:tc>
        <w:tc>
          <w:tcPr>
            <w:tcW w:type="dxa" w:w="7920"/>
            <w:vAlign w:val="center"/>
            <w:shd w:fill="F4F4F5"/>
          </w:tcPr>
          <w:p>
            <w:pPr>
              <w:pStyle w:val="Tablecopy"/>
            </w:pPr>
            <w:r/>
            <w:r>
              <w:rPr>
                <w:rFonts w:ascii="Inter" w:hAnsi="Inter" w:eastAsia="Inter" w:cs="Inter"/>
                <w:b/>
                <w:color w:val="18181B"/>
                <w:sz w:val="21"/>
              </w:rPr>
              <w:t>Useful wording</w:t>
            </w:r>
          </w:p>
        </w:tc>
      </w:tr>
      <w:tr>
        <w:trPr>
          <w:cantSplit/>
        </w:trPr>
        <w:tc>
          <w:tcPr>
            <w:tcW w:type="dxa" w:w="2016"/>
            <w:vAlign w:val="center"/>
          </w:tcPr>
          <w:p>
            <w:pPr>
              <w:pStyle w:val="Tablecopy"/>
            </w:pPr>
            <w:r/>
            <w:r>
              <w:rPr>
                <w:rFonts w:ascii="Inter" w:hAnsi="Inter" w:eastAsia="Inter" w:cs="Inter"/>
                <w:b w:val="0"/>
                <w:color w:val="18181B"/>
                <w:sz w:val="21"/>
              </w:rPr>
              <w:t>Understand</w:t>
            </w:r>
          </w:p>
        </w:tc>
        <w:tc>
          <w:tcPr>
            <w:tcW w:type="dxa" w:w="7920"/>
            <w:vAlign w:val="center"/>
          </w:tcPr>
          <w:p>
            <w:pPr>
              <w:pStyle w:val="Tablecopy"/>
            </w:pPr>
            <w:r/>
            <w:r>
              <w:rPr>
                <w:rFonts w:ascii="Inter" w:hAnsi="Inter" w:eastAsia="Inter" w:cs="Inter"/>
                <w:b w:val="0"/>
                <w:color w:val="18181B"/>
                <w:sz w:val="21"/>
              </w:rPr>
              <w:t>What would make a property suitable for you, and which requirements are essential?</w:t>
            </w:r>
          </w:p>
        </w:tc>
      </w:tr>
      <w:tr>
        <w:trPr>
          <w:cantSplit/>
        </w:trPr>
        <w:tc>
          <w:tcPr>
            <w:tcW w:type="dxa" w:w="2016"/>
            <w:vAlign w:val="center"/>
          </w:tcPr>
          <w:p>
            <w:pPr>
              <w:pStyle w:val="Tablecopy"/>
            </w:pPr>
            <w:r/>
            <w:r>
              <w:rPr>
                <w:rFonts w:ascii="Inter" w:hAnsi="Inter" w:eastAsia="Inter" w:cs="Inter"/>
                <w:b w:val="0"/>
                <w:color w:val="18181B"/>
                <w:sz w:val="21"/>
              </w:rPr>
              <w:t>Clarify timing</w:t>
            </w:r>
          </w:p>
        </w:tc>
        <w:tc>
          <w:tcPr>
            <w:tcW w:type="dxa" w:w="7920"/>
            <w:vAlign w:val="center"/>
          </w:tcPr>
          <w:p>
            <w:pPr>
              <w:pStyle w:val="Tablecopy"/>
            </w:pPr>
            <w:r/>
            <w:r>
              <w:rPr>
                <w:rFonts w:ascii="Inter" w:hAnsi="Inter" w:eastAsia="Inter" w:cs="Inter"/>
                <w:b w:val="0"/>
                <w:color w:val="18181B"/>
                <w:sz w:val="21"/>
              </w:rPr>
              <w:t>What timing are you working toward, and is there anything that could change it?</w:t>
            </w:r>
          </w:p>
        </w:tc>
      </w:tr>
      <w:tr>
        <w:trPr>
          <w:cantSplit/>
        </w:trPr>
        <w:tc>
          <w:tcPr>
            <w:tcW w:type="dxa" w:w="2016"/>
            <w:vAlign w:val="center"/>
          </w:tcPr>
          <w:p>
            <w:pPr>
              <w:pStyle w:val="Tablecopy"/>
            </w:pPr>
            <w:r/>
            <w:r>
              <w:rPr>
                <w:rFonts w:ascii="Inter" w:hAnsi="Inter" w:eastAsia="Inter" w:cs="Inter"/>
                <w:b w:val="0"/>
                <w:color w:val="18181B"/>
                <w:sz w:val="21"/>
              </w:rPr>
              <w:t>Resolve a gap</w:t>
            </w:r>
          </w:p>
        </w:tc>
        <w:tc>
          <w:tcPr>
            <w:tcW w:type="dxa" w:w="7920"/>
            <w:vAlign w:val="center"/>
          </w:tcPr>
          <w:p>
            <w:pPr>
              <w:pStyle w:val="Tablecopy"/>
            </w:pPr>
            <w:r/>
            <w:r>
              <w:rPr>
                <w:rFonts w:ascii="Inter" w:hAnsi="Inter" w:eastAsia="Inter" w:cs="Inter"/>
                <w:b w:val="0"/>
                <w:color w:val="18181B"/>
                <w:sz w:val="21"/>
              </w:rPr>
              <w:t>Which detail would help you decide whether this property is worth viewing?</w:t>
            </w:r>
          </w:p>
        </w:tc>
      </w:tr>
      <w:tr>
        <w:trPr>
          <w:cantSplit/>
        </w:trPr>
        <w:tc>
          <w:tcPr>
            <w:tcW w:type="dxa" w:w="2016"/>
            <w:vAlign w:val="center"/>
          </w:tcPr>
          <w:p>
            <w:pPr>
              <w:pStyle w:val="Tablecopy"/>
            </w:pPr>
            <w:r/>
            <w:r>
              <w:rPr>
                <w:rFonts w:ascii="Inter" w:hAnsi="Inter" w:eastAsia="Inter" w:cs="Inter"/>
                <w:b w:val="0"/>
                <w:color w:val="18181B"/>
                <w:sz w:val="21"/>
              </w:rPr>
              <w:t>Agree follow-through</w:t>
            </w:r>
          </w:p>
        </w:tc>
        <w:tc>
          <w:tcPr>
            <w:tcW w:type="dxa" w:w="7920"/>
            <w:vAlign w:val="center"/>
          </w:tcPr>
          <w:p>
            <w:pPr>
              <w:pStyle w:val="Tablecopy"/>
            </w:pPr>
            <w:r/>
            <w:r>
              <w:rPr>
                <w:rFonts w:ascii="Inter" w:hAnsi="Inter" w:eastAsia="Inter" w:cs="Inter"/>
                <w:b w:val="0"/>
                <w:color w:val="18181B"/>
                <w:sz w:val="21"/>
              </w:rPr>
              <w:t>What would you like to happen next, and which contact route works for that step?</w:t>
            </w:r>
          </w:p>
        </w:tc>
      </w:tr>
    </w:tbl>
    <w:p>
      <w:pPr>
        <w:pStyle w:val="Tablegap"/>
      </w:pPr>
    </w:p>
    <w:p>
      <w:pPr>
        <w:pStyle w:val="Heading2"/>
      </w:pPr>
      <w:r>
        <w:t>Keep qualification separate from prediction</w:t>
      </w:r>
    </w:p>
    <w:p>
      <w:r>
        <w:rPr>
          <w:rFonts w:ascii="Inter" w:hAnsi="Inter" w:eastAsia="Inter" w:cs="Inter"/>
          <w:b w:val="0"/>
          <w:color w:val="18181B"/>
        </w:rPr>
        <w:t>Use “qualified” to mean the team has enough confirmed information to recommend a relevant next step under its approved rules. It does not mean a transaction is likely, finance is approved or legal eligibility has been established. Record why an enquiry is paused or unsuitable without speculation about the person.</w:t>
      </w:r>
    </w:p>
    <w:p>
      <w:pPr>
        <w:pStyle w:val="Fieldlabel"/>
      </w:pPr>
      <w:r>
        <w:rPr>
          <w:rFonts w:ascii="Inter" w:hAnsi="Inter" w:eastAsia="Inter" w:cs="Inter"/>
          <w:b/>
          <w:color w:val="18181B"/>
        </w:rPr>
        <w:t>Confirmed need • essential requirements • timing</w:t>
      </w:r>
    </w:p>
    <w:sdt>
      <w:sdtPr>
        <w:alias w:val="Confirmed need • essential requirements • timing"/>
        <w:tag w:val="field-e8fb2ddceb86"/>
        <w:id w:val="199384384"/>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Information still required • verification owner</w:t>
      </w:r>
    </w:p>
    <w:sdt>
      <w:sdtPr>
        <w:alias w:val="Information still required • verification owner"/>
        <w:tag w:val="field-2a973856f989"/>
        <w:id w:val="59057834"/>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Agreed next step • contact route • due time</w:t>
      </w:r>
    </w:p>
    <w:sdt>
      <w:sdtPr>
        <w:alias w:val="Agreed next step • contact route • due time"/>
        <w:tag w:val="field-721445719afe"/>
        <w:id w:val="124403548"/>
      </w:sdtPr>
      <w:sdtContent>
        <w:p>
          <w:pPr>
            <w:pStyle w:val="Entry"/>
            <w:pBdr>
              <w:bottom w:val="single" w:sz="4" w:color="D4D4D8" w:space="1"/>
            </w:pBdr>
          </w:pPr>
          <w:r>
            <w:rPr>
              <w:rFonts w:ascii="Inter" w:hAnsi="Inter" w:eastAsia="Inter" w:cs="Inter"/>
              <w:color w:val="18181B"/>
            </w:rPr>
            <w:t xml:space="preserve"> </w:t>
          </w:r>
        </w:p>
      </w:sdtContent>
    </w:sdt>
    <w:p>
      <w:pPr>
        <w:pStyle w:val="Eyebrow"/>
        <w:pageBreakBefore/>
      </w:pPr>
      <w:r>
        <w:rPr>
          <w:rFonts w:ascii="Inter" w:hAnsi="Inter" w:eastAsia="Inter" w:cs="Inter"/>
          <w:b w:val="0"/>
          <w:color w:val="18181B"/>
        </w:rPr>
        <w:t>04 / Lead handling and service control</w:t>
      </w:r>
    </w:p>
    <w:p>
      <w:pPr>
        <w:pStyle w:val="Heading1"/>
      </w:pPr>
      <w:r>
        <w:t>Manage viewings and transaction handoffs</w:t>
      </w:r>
    </w:p>
    <w:p>
      <w:pPr>
        <w:pStyle w:val="Deck"/>
      </w:pPr>
      <w:r>
        <w:rPr>
          <w:rFonts w:ascii="Inter" w:hAnsi="Inter" w:eastAsia="Inter" w:cs="Inter"/>
          <w:b w:val="0"/>
          <w:color w:val="18181B"/>
        </w:rPr>
        <w:t>Advance the record only when the required event has happened.</w:t>
      </w:r>
    </w:p>
    <w:p>
      <w:pPr>
        <w:pStyle w:val="Heading2"/>
      </w:pPr>
      <w:r>
        <w:t>Use evidence-based stages</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304"/>
        <w:gridCol w:w="7632"/>
      </w:tblGrid>
      <w:tr>
        <w:trPr>
          <w:cantSplit/>
          <w:tblHeader/>
        </w:trPr>
        <w:tc>
          <w:tcPr>
            <w:tcW w:type="dxa" w:w="2304"/>
            <w:vAlign w:val="center"/>
            <w:shd w:fill="F4F4F5"/>
          </w:tcPr>
          <w:p>
            <w:pPr>
              <w:pStyle w:val="Tablecopy"/>
            </w:pPr>
            <w:r/>
            <w:r>
              <w:rPr>
                <w:rFonts w:ascii="Inter" w:hAnsi="Inter" w:eastAsia="Inter" w:cs="Inter"/>
                <w:b/>
                <w:color w:val="18181B"/>
                <w:sz w:val="21"/>
              </w:rPr>
              <w:t>Stage</w:t>
            </w:r>
          </w:p>
        </w:tc>
        <w:tc>
          <w:tcPr>
            <w:tcW w:type="dxa" w:w="7632"/>
            <w:vAlign w:val="center"/>
            <w:shd w:fill="F4F4F5"/>
          </w:tcPr>
          <w:p>
            <w:pPr>
              <w:pStyle w:val="Tablecopy"/>
            </w:pPr>
            <w:r/>
            <w:r>
              <w:rPr>
                <w:rFonts w:ascii="Inter" w:hAnsi="Inter" w:eastAsia="Inter" w:cs="Inter"/>
                <w:b/>
                <w:color w:val="18181B"/>
                <w:sz w:val="21"/>
              </w:rPr>
              <w:t>Entry evidence and required next action</w:t>
            </w:r>
          </w:p>
        </w:tc>
      </w:tr>
      <w:tr>
        <w:trPr>
          <w:cantSplit/>
        </w:trPr>
        <w:tc>
          <w:tcPr>
            <w:tcW w:type="dxa" w:w="2304"/>
            <w:vAlign w:val="center"/>
          </w:tcPr>
          <w:p>
            <w:pPr>
              <w:pStyle w:val="Tablecopy"/>
            </w:pPr>
            <w:r/>
            <w:r>
              <w:rPr>
                <w:rFonts w:ascii="Inter" w:hAnsi="Inter" w:eastAsia="Inter" w:cs="Inter"/>
                <w:b w:val="0"/>
                <w:color w:val="18181B"/>
                <w:sz w:val="21"/>
              </w:rPr>
              <w:t>New</w:t>
            </w:r>
          </w:p>
        </w:tc>
        <w:tc>
          <w:tcPr>
            <w:tcW w:type="dxa" w:w="7632"/>
            <w:vAlign w:val="center"/>
          </w:tcPr>
          <w:p>
            <w:pPr>
              <w:pStyle w:val="Tablecopy"/>
            </w:pPr>
            <w:r/>
            <w:r>
              <w:rPr>
                <w:rFonts w:ascii="Inter" w:hAnsi="Inter" w:eastAsia="Inter" w:cs="Inter"/>
                <w:b w:val="0"/>
                <w:color w:val="18181B"/>
                <w:sz w:val="21"/>
              </w:rPr>
              <w:t>A valid enquiry is captured. Assign an owner and address the request.</w:t>
            </w:r>
          </w:p>
        </w:tc>
      </w:tr>
      <w:tr>
        <w:trPr>
          <w:cantSplit/>
        </w:trPr>
        <w:tc>
          <w:tcPr>
            <w:tcW w:type="dxa" w:w="2304"/>
            <w:vAlign w:val="center"/>
          </w:tcPr>
          <w:p>
            <w:pPr>
              <w:pStyle w:val="Tablecopy"/>
            </w:pPr>
            <w:r/>
            <w:r>
              <w:rPr>
                <w:rFonts w:ascii="Inter" w:hAnsi="Inter" w:eastAsia="Inter" w:cs="Inter"/>
                <w:b w:val="0"/>
                <w:color w:val="18181B"/>
                <w:sz w:val="21"/>
              </w:rPr>
              <w:t>In contact</w:t>
            </w:r>
          </w:p>
        </w:tc>
        <w:tc>
          <w:tcPr>
            <w:tcW w:type="dxa" w:w="7632"/>
            <w:vAlign w:val="center"/>
          </w:tcPr>
          <w:p>
            <w:pPr>
              <w:pStyle w:val="Tablecopy"/>
            </w:pPr>
            <w:r/>
            <w:r>
              <w:rPr>
                <w:rFonts w:ascii="Inter" w:hAnsi="Inter" w:eastAsia="Inter" w:cs="Inter"/>
                <w:b w:val="0"/>
                <w:color w:val="18181B"/>
                <w:sz w:val="21"/>
              </w:rPr>
              <w:t>A meaningful two-way exchange has occurred. Clarify the need and agree the next step.</w:t>
            </w:r>
          </w:p>
        </w:tc>
      </w:tr>
      <w:tr>
        <w:trPr>
          <w:cantSplit/>
        </w:trPr>
        <w:tc>
          <w:tcPr>
            <w:tcW w:type="dxa" w:w="2304"/>
            <w:vAlign w:val="center"/>
          </w:tcPr>
          <w:p>
            <w:pPr>
              <w:pStyle w:val="Tablecopy"/>
            </w:pPr>
            <w:r/>
            <w:r>
              <w:rPr>
                <w:rFonts w:ascii="Inter" w:hAnsi="Inter" w:eastAsia="Inter" w:cs="Inter"/>
                <w:b w:val="0"/>
                <w:color w:val="18181B"/>
                <w:sz w:val="21"/>
              </w:rPr>
              <w:t>Qualified</w:t>
            </w:r>
          </w:p>
        </w:tc>
        <w:tc>
          <w:tcPr>
            <w:tcW w:type="dxa" w:w="7632"/>
            <w:vAlign w:val="center"/>
          </w:tcPr>
          <w:p>
            <w:pPr>
              <w:pStyle w:val="Tablecopy"/>
            </w:pPr>
            <w:r/>
            <w:r>
              <w:rPr>
                <w:rFonts w:ascii="Inter" w:hAnsi="Inter" w:eastAsia="Inter" w:cs="Inter"/>
                <w:b w:val="0"/>
                <w:color w:val="18181B"/>
                <w:sz w:val="21"/>
              </w:rPr>
              <w:t>Relevant requirements are confirmed. Offer a suitable next action or record the remaining constraint.</w:t>
            </w:r>
          </w:p>
        </w:tc>
      </w:tr>
      <w:tr>
        <w:trPr>
          <w:cantSplit/>
        </w:trPr>
        <w:tc>
          <w:tcPr>
            <w:tcW w:type="dxa" w:w="2304"/>
            <w:vAlign w:val="center"/>
          </w:tcPr>
          <w:p>
            <w:pPr>
              <w:pStyle w:val="Tablecopy"/>
            </w:pPr>
            <w:r/>
            <w:r>
              <w:rPr>
                <w:rFonts w:ascii="Inter" w:hAnsi="Inter" w:eastAsia="Inter" w:cs="Inter"/>
                <w:b w:val="0"/>
                <w:color w:val="18181B"/>
                <w:sz w:val="21"/>
              </w:rPr>
              <w:t>Viewing arranged</w:t>
            </w:r>
          </w:p>
        </w:tc>
        <w:tc>
          <w:tcPr>
            <w:tcW w:type="dxa" w:w="7632"/>
            <w:vAlign w:val="center"/>
          </w:tcPr>
          <w:p>
            <w:pPr>
              <w:pStyle w:val="Tablecopy"/>
            </w:pPr>
            <w:r/>
            <w:r>
              <w:rPr>
                <w:rFonts w:ascii="Inter" w:hAnsi="Inter" w:eastAsia="Inter" w:cs="Inter"/>
                <w:b w:val="0"/>
                <w:color w:val="18181B"/>
                <w:sz w:val="21"/>
              </w:rPr>
              <w:t>The appointment is confirmed. Record time, access arrangements and responsible host.</w:t>
            </w:r>
          </w:p>
        </w:tc>
      </w:tr>
      <w:tr>
        <w:trPr>
          <w:cantSplit/>
        </w:trPr>
        <w:tc>
          <w:tcPr>
            <w:tcW w:type="dxa" w:w="2304"/>
            <w:vAlign w:val="center"/>
          </w:tcPr>
          <w:p>
            <w:pPr>
              <w:pStyle w:val="Tablecopy"/>
            </w:pPr>
            <w:r/>
            <w:r>
              <w:rPr>
                <w:rFonts w:ascii="Inter" w:hAnsi="Inter" w:eastAsia="Inter" w:cs="Inter"/>
                <w:b w:val="0"/>
                <w:color w:val="18181B"/>
                <w:sz w:val="21"/>
              </w:rPr>
              <w:t>Viewing completed</w:t>
            </w:r>
          </w:p>
        </w:tc>
        <w:tc>
          <w:tcPr>
            <w:tcW w:type="dxa" w:w="7632"/>
            <w:vAlign w:val="center"/>
          </w:tcPr>
          <w:p>
            <w:pPr>
              <w:pStyle w:val="Tablecopy"/>
            </w:pPr>
            <w:r/>
            <w:r>
              <w:rPr>
                <w:rFonts w:ascii="Inter" w:hAnsi="Inter" w:eastAsia="Inter" w:cs="Inter"/>
                <w:b w:val="0"/>
                <w:color w:val="18181B"/>
                <w:sz w:val="21"/>
              </w:rPr>
              <w:t>Attendance and factual feedback are recorded. Agree follow-up without assuming interest.</w:t>
            </w:r>
          </w:p>
        </w:tc>
      </w:tr>
      <w:tr>
        <w:trPr>
          <w:cantSplit/>
        </w:trPr>
        <w:tc>
          <w:tcPr>
            <w:tcW w:type="dxa" w:w="2304"/>
            <w:vAlign w:val="center"/>
          </w:tcPr>
          <w:p>
            <w:pPr>
              <w:pStyle w:val="Tablecopy"/>
            </w:pPr>
            <w:r/>
            <w:r>
              <w:rPr>
                <w:rFonts w:ascii="Inter" w:hAnsi="Inter" w:eastAsia="Inter" w:cs="Inter"/>
                <w:b w:val="0"/>
                <w:color w:val="18181B"/>
                <w:sz w:val="21"/>
              </w:rPr>
              <w:t>Transaction underway</w:t>
            </w:r>
          </w:p>
        </w:tc>
        <w:tc>
          <w:tcPr>
            <w:tcW w:type="dxa" w:w="7632"/>
            <w:vAlign w:val="center"/>
          </w:tcPr>
          <w:p>
            <w:pPr>
              <w:pStyle w:val="Tablecopy"/>
            </w:pPr>
            <w:r/>
            <w:r>
              <w:rPr>
                <w:rFonts w:ascii="Inter" w:hAnsi="Inter" w:eastAsia="Inter" w:cs="Inter"/>
                <w:b w:val="0"/>
                <w:color w:val="18181B"/>
                <w:sz w:val="21"/>
              </w:rPr>
              <w:t>A documented transaction step has begun. Link the controlled transaction record and receiving owner.</w:t>
            </w:r>
          </w:p>
        </w:tc>
      </w:tr>
      <w:tr>
        <w:trPr>
          <w:cantSplit/>
        </w:trPr>
        <w:tc>
          <w:tcPr>
            <w:tcW w:type="dxa" w:w="2304"/>
            <w:vAlign w:val="center"/>
          </w:tcPr>
          <w:p>
            <w:pPr>
              <w:pStyle w:val="Tablecopy"/>
            </w:pPr>
            <w:r/>
            <w:r>
              <w:rPr>
                <w:rFonts w:ascii="Inter" w:hAnsi="Inter" w:eastAsia="Inter" w:cs="Inter"/>
                <w:b w:val="0"/>
                <w:color w:val="18181B"/>
                <w:sz w:val="21"/>
              </w:rPr>
              <w:t>Closed</w:t>
            </w:r>
          </w:p>
        </w:tc>
        <w:tc>
          <w:tcPr>
            <w:tcW w:type="dxa" w:w="7632"/>
            <w:vAlign w:val="center"/>
          </w:tcPr>
          <w:p>
            <w:pPr>
              <w:pStyle w:val="Tablecopy"/>
            </w:pPr>
            <w:r/>
            <w:r>
              <w:rPr>
                <w:rFonts w:ascii="Inter" w:hAnsi="Inter" w:eastAsia="Inter" w:cs="Inter"/>
                <w:b w:val="0"/>
                <w:color w:val="18181B"/>
                <w:sz w:val="21"/>
              </w:rPr>
              <w:t>A verified completed outcome or an explicit close reason is recorded. Cancel obsolete follow-up.</w:t>
            </w:r>
          </w:p>
        </w:tc>
      </w:tr>
    </w:tbl>
    <w:p>
      <w:pPr>
        <w:pStyle w:val="Tablegap"/>
      </w:pPr>
    </w:p>
    <w:p>
      <w:pPr>
        <w:pStyle w:val="Heading2"/>
      </w:pPr>
      <w:r>
        <w:t>Prepare the viewing</w:t>
      </w:r>
    </w:p>
    <w:p>
      <w:r>
        <w:rPr>
          <w:rFonts w:ascii="Inter" w:hAnsi="Inter" w:eastAsia="Inter" w:cs="Inter"/>
          <w:b w:val="0"/>
          <w:color w:val="18181B"/>
        </w:rPr>
        <w:t>Verify the property’s current availability and the facts the team is authorized to communicate. Confirm the appointment, access, host and any requested assistance. Avoid sending access codes or sensitive occupant information through an unapproved channel.</w:t>
      </w:r>
    </w:p>
    <w:p>
      <w:pPr>
        <w:pStyle w:val="Heading2"/>
      </w:pPr>
      <w:r>
        <w:t>Close the loop after the visit</w:t>
      </w:r>
    </w:p>
    <w:p>
      <w:r>
        <w:rPr>
          <w:rFonts w:ascii="Inter" w:hAnsi="Inter" w:eastAsia="Inter" w:cs="Inter"/>
          <w:b w:val="0"/>
          <w:color w:val="18181B"/>
        </w:rPr>
        <w:t>Record attended, cancelled, rescheduled or did not attend as separate outcomes. Ask what the person needs next and capture the agreed action. A missed appointment does not prove lack of interest; use the approved contact rule to clarify before closing.</w:t>
      </w:r>
    </w:p>
    <w:p>
      <w:pPr>
        <w:pStyle w:val="Fieldlabel"/>
      </w:pPr>
      <w:r>
        <w:rPr>
          <w:rFonts w:ascii="Inter" w:hAnsi="Inter" w:eastAsia="Inter" w:cs="Inter"/>
          <w:b/>
          <w:color w:val="18181B"/>
        </w:rPr>
        <w:t>Viewing outcome • factual feedback • agreed next action</w:t>
      </w:r>
    </w:p>
    <w:sdt>
      <w:sdtPr>
        <w:alias w:val="Viewing outcome • factual feedback • agreed next action"/>
        <w:tag w:val="field-8bb6add8c2ab"/>
        <w:id w:val="65185012"/>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Transaction handoff • receiving owner • acceptance time</w:t>
      </w:r>
    </w:p>
    <w:sdt>
      <w:sdtPr>
        <w:alias w:val="Transaction handoff • receiving owner • acceptance time"/>
        <w:tag w:val="field-3f3db64b4d62"/>
        <w:id w:val="140683227"/>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A stage is a verified state, not a measure of how many messages the team sent. Keep communication activity and outcome evidence separate.</w:t>
      </w:r>
    </w:p>
    <w:p>
      <w:pPr>
        <w:pStyle w:val="Eyebrow"/>
        <w:pageBreakBefore/>
      </w:pPr>
      <w:r>
        <w:rPr>
          <w:rFonts w:ascii="Inter" w:hAnsi="Inter" w:eastAsia="Inter" w:cs="Inter"/>
          <w:b w:val="0"/>
          <w:color w:val="18181B"/>
        </w:rPr>
        <w:t>05 / Lead handling and service control</w:t>
      </w:r>
    </w:p>
    <w:p>
      <w:pPr>
        <w:pStyle w:val="Heading1"/>
      </w:pPr>
      <w:r>
        <w:t>Resolve contact and ownership exceptions</w:t>
      </w:r>
    </w:p>
    <w:p>
      <w:pPr>
        <w:pStyle w:val="Deck"/>
      </w:pPr>
      <w:r>
        <w:rPr>
          <w:rFonts w:ascii="Inter" w:hAnsi="Inter" w:eastAsia="Inter" w:cs="Inter"/>
          <w:b w:val="0"/>
          <w:color w:val="18181B"/>
        </w:rPr>
        <w:t>Resolve restrictions, failed contact and ownership disputes through explicit routes.</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448"/>
        <w:gridCol w:w="7488"/>
      </w:tblGrid>
      <w:tr>
        <w:trPr>
          <w:cantSplit/>
          <w:tblHeader/>
        </w:trPr>
        <w:tc>
          <w:tcPr>
            <w:tcW w:type="dxa" w:w="2448"/>
            <w:vAlign w:val="center"/>
            <w:shd w:fill="F4F4F5"/>
          </w:tcPr>
          <w:p>
            <w:pPr>
              <w:pStyle w:val="Tablecopy"/>
            </w:pPr>
            <w:r/>
            <w:r>
              <w:rPr>
                <w:rFonts w:ascii="Inter" w:hAnsi="Inter" w:eastAsia="Inter" w:cs="Inter"/>
                <w:b/>
                <w:color w:val="18181B"/>
                <w:sz w:val="21"/>
              </w:rPr>
              <w:t>Exception</w:t>
            </w:r>
          </w:p>
        </w:tc>
        <w:tc>
          <w:tcPr>
            <w:tcW w:type="dxa" w:w="7488"/>
            <w:vAlign w:val="center"/>
            <w:shd w:fill="F4F4F5"/>
          </w:tcPr>
          <w:p>
            <w:pPr>
              <w:pStyle w:val="Tablecopy"/>
            </w:pPr>
            <w:r/>
            <w:r>
              <w:rPr>
                <w:rFonts w:ascii="Inter" w:hAnsi="Inter" w:eastAsia="Inter" w:cs="Inter"/>
                <w:b/>
                <w:color w:val="18181B"/>
                <w:sz w:val="21"/>
              </w:rPr>
              <w:t>Required response</w:t>
            </w:r>
          </w:p>
        </w:tc>
      </w:tr>
      <w:tr>
        <w:trPr>
          <w:cantSplit/>
        </w:trPr>
        <w:tc>
          <w:tcPr>
            <w:tcW w:type="dxa" w:w="2448"/>
            <w:vAlign w:val="center"/>
          </w:tcPr>
          <w:p>
            <w:pPr>
              <w:pStyle w:val="Tablecopy"/>
            </w:pPr>
            <w:r/>
            <w:r>
              <w:rPr>
                <w:rFonts w:ascii="Inter" w:hAnsi="Inter" w:eastAsia="Inter" w:cs="Inter"/>
                <w:b w:val="0"/>
                <w:color w:val="18181B"/>
                <w:sz w:val="21"/>
              </w:rPr>
              <w:t>No response</w:t>
            </w:r>
          </w:p>
        </w:tc>
        <w:tc>
          <w:tcPr>
            <w:tcW w:type="dxa" w:w="7488"/>
            <w:vAlign w:val="center"/>
          </w:tcPr>
          <w:p>
            <w:pPr>
              <w:pStyle w:val="Tablecopy"/>
            </w:pPr>
            <w:r/>
            <w:r>
              <w:rPr>
                <w:rFonts w:ascii="Inter" w:hAnsi="Inter" w:eastAsia="Inter" w:cs="Inter"/>
                <w:b w:val="0"/>
                <w:color w:val="18181B"/>
                <w:sz w:val="21"/>
              </w:rPr>
              <w:t>Follow the agreed contact cadence and permitted channels. Review the relevance of further contact; pause or close with a reason when the policy limit is reached.</w:t>
            </w:r>
          </w:p>
        </w:tc>
      </w:tr>
      <w:tr>
        <w:trPr>
          <w:cantSplit/>
        </w:trPr>
        <w:tc>
          <w:tcPr>
            <w:tcW w:type="dxa" w:w="2448"/>
            <w:vAlign w:val="center"/>
          </w:tcPr>
          <w:p>
            <w:pPr>
              <w:pStyle w:val="Tablecopy"/>
            </w:pPr>
            <w:r/>
            <w:r>
              <w:rPr>
                <w:rFonts w:ascii="Inter" w:hAnsi="Inter" w:eastAsia="Inter" w:cs="Inter"/>
                <w:b w:val="0"/>
                <w:color w:val="18181B"/>
                <w:sz w:val="21"/>
              </w:rPr>
              <w:t>Contact restriction</w:t>
            </w:r>
          </w:p>
        </w:tc>
        <w:tc>
          <w:tcPr>
            <w:tcW w:type="dxa" w:w="7488"/>
            <w:vAlign w:val="center"/>
          </w:tcPr>
          <w:p>
            <w:pPr>
              <w:pStyle w:val="Tablecopy"/>
            </w:pPr>
            <w:r/>
            <w:r>
              <w:rPr>
                <w:rFonts w:ascii="Inter" w:hAnsi="Inter" w:eastAsia="Inter" w:cs="Inter"/>
                <w:b w:val="0"/>
                <w:color w:val="18181B"/>
                <w:sz w:val="21"/>
              </w:rPr>
              <w:t>Stop affected outreach, cancel queued messages and update the preference record. Retain only the information needed under the approved suppression and retention policy.</w:t>
            </w:r>
          </w:p>
        </w:tc>
      </w:tr>
      <w:tr>
        <w:trPr>
          <w:cantSplit/>
        </w:trPr>
        <w:tc>
          <w:tcPr>
            <w:tcW w:type="dxa" w:w="2448"/>
            <w:vAlign w:val="center"/>
          </w:tcPr>
          <w:p>
            <w:pPr>
              <w:pStyle w:val="Tablecopy"/>
            </w:pPr>
            <w:r/>
            <w:r>
              <w:rPr>
                <w:rFonts w:ascii="Inter" w:hAnsi="Inter" w:eastAsia="Inter" w:cs="Inter"/>
                <w:b w:val="0"/>
                <w:color w:val="18181B"/>
                <w:sz w:val="21"/>
              </w:rPr>
              <w:t>Wrong recipient</w:t>
            </w:r>
          </w:p>
        </w:tc>
        <w:tc>
          <w:tcPr>
            <w:tcW w:type="dxa" w:w="7488"/>
            <w:vAlign w:val="center"/>
          </w:tcPr>
          <w:p>
            <w:pPr>
              <w:pStyle w:val="Tablecopy"/>
            </w:pPr>
            <w:r/>
            <w:r>
              <w:rPr>
                <w:rFonts w:ascii="Inter" w:hAnsi="Inter" w:eastAsia="Inter" w:cs="Inter"/>
                <w:b w:val="0"/>
                <w:color w:val="18181B"/>
                <w:sz w:val="21"/>
              </w:rPr>
              <w:t>Stop contact through that route, correct the record and review whether another person’s information was disclosed.</w:t>
            </w:r>
          </w:p>
        </w:tc>
      </w:tr>
      <w:tr>
        <w:trPr>
          <w:cantSplit/>
        </w:trPr>
        <w:tc>
          <w:tcPr>
            <w:tcW w:type="dxa" w:w="2448"/>
            <w:vAlign w:val="center"/>
          </w:tcPr>
          <w:p>
            <w:pPr>
              <w:pStyle w:val="Tablecopy"/>
            </w:pPr>
            <w:r/>
            <w:r>
              <w:rPr>
                <w:rFonts w:ascii="Inter" w:hAnsi="Inter" w:eastAsia="Inter" w:cs="Inter"/>
                <w:b w:val="0"/>
                <w:color w:val="18181B"/>
                <w:sz w:val="21"/>
              </w:rPr>
              <w:t>Duplicate enquiry</w:t>
            </w:r>
          </w:p>
        </w:tc>
        <w:tc>
          <w:tcPr>
            <w:tcW w:type="dxa" w:w="7488"/>
            <w:vAlign w:val="center"/>
          </w:tcPr>
          <w:p>
            <w:pPr>
              <w:pStyle w:val="Tablecopy"/>
            </w:pPr>
            <w:r/>
            <w:r>
              <w:rPr>
                <w:rFonts w:ascii="Inter" w:hAnsi="Inter" w:eastAsia="Inter" w:cs="Inter"/>
                <w:b w:val="0"/>
                <w:color w:val="18181B"/>
                <w:sz w:val="21"/>
              </w:rPr>
              <w:t>Preserve source history and separate legitimate property interests. Merge only after identity and active ownership are confirmed.</w:t>
            </w:r>
          </w:p>
        </w:tc>
      </w:tr>
      <w:tr>
        <w:trPr>
          <w:cantSplit/>
        </w:trPr>
        <w:tc>
          <w:tcPr>
            <w:tcW w:type="dxa" w:w="2448"/>
            <w:vAlign w:val="center"/>
          </w:tcPr>
          <w:p>
            <w:pPr>
              <w:pStyle w:val="Tablecopy"/>
            </w:pPr>
            <w:r/>
            <w:r>
              <w:rPr>
                <w:rFonts w:ascii="Inter" w:hAnsi="Inter" w:eastAsia="Inter" w:cs="Inter"/>
                <w:b w:val="0"/>
                <w:color w:val="18181B"/>
                <w:sz w:val="21"/>
              </w:rPr>
              <w:t>Unavailable property</w:t>
            </w:r>
          </w:p>
        </w:tc>
        <w:tc>
          <w:tcPr>
            <w:tcW w:type="dxa" w:w="7488"/>
            <w:vAlign w:val="center"/>
          </w:tcPr>
          <w:p>
            <w:pPr>
              <w:pStyle w:val="Tablecopy"/>
            </w:pPr>
            <w:r/>
            <w:r>
              <w:rPr>
                <w:rFonts w:ascii="Inter" w:hAnsi="Inter" w:eastAsia="Inter" w:cs="Inter"/>
                <w:b w:val="0"/>
                <w:color w:val="18181B"/>
                <w:sz w:val="21"/>
              </w:rPr>
              <w:t>Verify the listing state, explain the position accurately and ask whether the person wants relevant alternatives.</w:t>
            </w:r>
          </w:p>
        </w:tc>
      </w:tr>
      <w:tr>
        <w:trPr>
          <w:cantSplit/>
        </w:trPr>
        <w:tc>
          <w:tcPr>
            <w:tcW w:type="dxa" w:w="2448"/>
            <w:vAlign w:val="center"/>
          </w:tcPr>
          <w:p>
            <w:pPr>
              <w:pStyle w:val="Tablecopy"/>
            </w:pPr>
            <w:r/>
            <w:r>
              <w:rPr>
                <w:rFonts w:ascii="Inter" w:hAnsi="Inter" w:eastAsia="Inter" w:cs="Inter"/>
                <w:b w:val="0"/>
                <w:color w:val="18181B"/>
                <w:sz w:val="21"/>
              </w:rPr>
              <w:t>Owner unavailable</w:t>
            </w:r>
          </w:p>
        </w:tc>
        <w:tc>
          <w:tcPr>
            <w:tcW w:type="dxa" w:w="7488"/>
            <w:vAlign w:val="center"/>
          </w:tcPr>
          <w:p>
            <w:pPr>
              <w:pStyle w:val="Tablecopy"/>
            </w:pPr>
            <w:r/>
            <w:r>
              <w:rPr>
                <w:rFonts w:ascii="Inter" w:hAnsi="Inter" w:eastAsia="Inter" w:cs="Inter"/>
                <w:b w:val="0"/>
                <w:color w:val="18181B"/>
                <w:sz w:val="21"/>
              </w:rPr>
              <w:t>Transfer the work with context, due actions and explicit acceptance. Do not reset the response clock to hide a delay.</w:t>
            </w:r>
          </w:p>
        </w:tc>
      </w:tr>
      <w:tr>
        <w:trPr>
          <w:cantSplit/>
        </w:trPr>
        <w:tc>
          <w:tcPr>
            <w:tcW w:type="dxa" w:w="2448"/>
            <w:vAlign w:val="center"/>
          </w:tcPr>
          <w:p>
            <w:pPr>
              <w:pStyle w:val="Tablecopy"/>
            </w:pPr>
            <w:r/>
            <w:r>
              <w:rPr>
                <w:rFonts w:ascii="Inter" w:hAnsi="Inter" w:eastAsia="Inter" w:cs="Inter"/>
                <w:b w:val="0"/>
                <w:color w:val="18181B"/>
                <w:sz w:val="21"/>
              </w:rPr>
              <w:t>Complaint or sensitive request</w:t>
            </w:r>
          </w:p>
        </w:tc>
        <w:tc>
          <w:tcPr>
            <w:tcW w:type="dxa" w:w="7488"/>
            <w:vAlign w:val="center"/>
          </w:tcPr>
          <w:p>
            <w:pPr>
              <w:pStyle w:val="Tablecopy"/>
            </w:pPr>
            <w:r/>
            <w:r>
              <w:rPr>
                <w:rFonts w:ascii="Inter" w:hAnsi="Inter" w:eastAsia="Inter" w:cs="Inter"/>
                <w:b w:val="0"/>
                <w:color w:val="18181B"/>
                <w:sz w:val="21"/>
              </w:rPr>
              <w:t>Route to the authorized owner, preserve relevant evidence and suspend incompatible automation.</w:t>
            </w:r>
          </w:p>
        </w:tc>
      </w:tr>
    </w:tbl>
    <w:p>
      <w:pPr>
        <w:pStyle w:val="Tablegap"/>
      </w:pPr>
    </w:p>
    <w:p>
      <w:pPr>
        <w:pStyle w:val="Heading2"/>
      </w:pPr>
      <w:r>
        <w:t>Use short, factual messages</w:t>
      </w:r>
    </w:p>
    <w:p>
      <w:r>
        <w:rPr>
          <w:rFonts w:ascii="Inter" w:hAnsi="Inter" w:eastAsia="Inter" w:cs="Inter"/>
          <w:b w:val="0"/>
          <w:color w:val="18181B"/>
        </w:rPr>
        <w:t>Explain any delay and state when the next update will arrive. Acknowledge contact restrictions without promotion or requests to reconsider. Keep transaction communications separate from optional marketing; an open enquiry does not authorize unrelated promotions.</w:t>
      </w:r>
    </w:p>
    <w:p>
      <w:pPr>
        <w:pStyle w:val="Heading2"/>
      </w:pPr>
      <w:r>
        <w:t>Exception record</w:t>
      </w:r>
    </w:p>
    <w:p>
      <w:pPr>
        <w:pStyle w:val="Fieldlabel"/>
      </w:pPr>
      <w:r>
        <w:rPr>
          <w:rFonts w:ascii="Inter" w:hAnsi="Inter" w:eastAsia="Inter" w:cs="Inter"/>
          <w:b/>
          <w:color w:val="18181B"/>
        </w:rPr>
        <w:t>Exception • affected enquiry • time identified</w:t>
      </w:r>
    </w:p>
    <w:sdt>
      <w:sdtPr>
        <w:alias w:val="Exception • affected enquiry • time identified"/>
        <w:tag w:val="field-cb5ccc7ed4b0"/>
        <w:id w:val="23934298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Immediate action • accountable owner • next review</w:t>
      </w:r>
    </w:p>
    <w:sdt>
      <w:sdtPr>
        <w:alias w:val="Immediate action • accountable owner • next review"/>
        <w:tag w:val="field-e33310d9965d"/>
        <w:id w:val="224803912"/>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Resolution evidence • preference / automation changes</w:t>
      </w:r>
    </w:p>
    <w:sdt>
      <w:sdtPr>
        <w:alias w:val="Resolution evidence • preference / automation changes"/>
        <w:tag w:val="field-c29cf54b8bbc"/>
        <w:id w:val="179097011"/>
      </w:sdtPr>
      <w:sdtContent>
        <w:p>
          <w:pPr>
            <w:pStyle w:val="Entry"/>
            <w:pBdr>
              <w:bottom w:val="single" w:sz="4" w:color="D4D4D8" w:space="1"/>
            </w:pBdr>
          </w:pPr>
          <w:r>
            <w:rPr>
              <w:rFonts w:ascii="Inter" w:hAnsi="Inter" w:eastAsia="Inter" w:cs="Inter"/>
              <w:color w:val="18181B"/>
            </w:rPr>
            <w:t xml:space="preserve"> </w:t>
          </w:r>
        </w:p>
      </w:sdtContent>
    </w:sdt>
    <w:p>
      <w:pPr>
        <w:pStyle w:val="Eyebrow"/>
        <w:pageBreakBefore/>
      </w:pPr>
      <w:r>
        <w:rPr>
          <w:rFonts w:ascii="Inter" w:hAnsi="Inter" w:eastAsia="Inter" w:cs="Inter"/>
          <w:b w:val="0"/>
          <w:color w:val="18181B"/>
        </w:rPr>
        <w:t>06 / Lead handling and service control</w:t>
      </w:r>
    </w:p>
    <w:p>
      <w:pPr>
        <w:pStyle w:val="Heading1"/>
      </w:pPr>
      <w:r>
        <w:t>Review the queue and improve the process</w:t>
      </w:r>
    </w:p>
    <w:p>
      <w:pPr>
        <w:pStyle w:val="Deck"/>
      </w:pPr>
      <w:r>
        <w:rPr>
          <w:rFonts w:ascii="Inter" w:hAnsi="Inter" w:eastAsia="Inter" w:cs="Inter"/>
          <w:b w:val="0"/>
          <w:color w:val="18181B"/>
        </w:rPr>
        <w:t>Use the CRM to expose unfinished work and verify automation.</w:t>
      </w:r>
    </w:p>
    <w:p>
      <w:pPr>
        <w:pStyle w:val="Heading2"/>
      </w:pPr>
      <w:r>
        <w:t>Run a daily work review</w:t>
      </w:r>
    </w:p>
    <w:p>
      <w:pPr>
        <w:pStyle w:val="Checklist"/>
        <w:ind w:left="173" w:hanging="173"/>
      </w:pPr>
      <w:r>
        <w:rPr>
          <w:rFonts w:ascii="Inter" w:hAnsi="Inter" w:eastAsia="Inter" w:cs="Inter"/>
          <w:b w:val="0"/>
          <w:color w:val="18181B"/>
        </w:rPr>
        <w:t>□  Unassigned and overdue work has an owner, next action and escalation route.</w:t>
      </w:r>
    </w:p>
    <w:p>
      <w:pPr>
        <w:pStyle w:val="Checklist"/>
        <w:ind w:left="173" w:hanging="173"/>
      </w:pPr>
      <w:r>
        <w:rPr>
          <w:rFonts w:ascii="Inter" w:hAnsi="Inter" w:eastAsia="Inter" w:cs="Inter"/>
          <w:b w:val="0"/>
          <w:color w:val="18181B"/>
        </w:rPr>
        <w:t>□  Viewings have confirmed hosts; completed visits have recorded outcomes.</w:t>
      </w:r>
    </w:p>
    <w:p>
      <w:pPr>
        <w:pStyle w:val="Checklist"/>
        <w:ind w:left="173" w:hanging="173"/>
      </w:pPr>
      <w:r>
        <w:rPr>
          <w:rFonts w:ascii="Inter" w:hAnsi="Inter" w:eastAsia="Inter" w:cs="Inter"/>
          <w:b w:val="0"/>
          <w:color w:val="18181B"/>
        </w:rPr>
        <w:t>□  Restricted contacts are excluded from affected queued outreach.</w:t>
      </w:r>
    </w:p>
    <w:p>
      <w:pPr>
        <w:pStyle w:val="Checklist"/>
        <w:ind w:left="173" w:hanging="173"/>
      </w:pPr>
      <w:r>
        <w:rPr>
          <w:rFonts w:ascii="Inter" w:hAnsi="Inter" w:eastAsia="Inter" w:cs="Inter"/>
          <w:b w:val="0"/>
          <w:color w:val="18181B"/>
        </w:rPr>
        <w:t>□  Stale stages, failed imports and automation errors are visible for resolution.</w:t>
      </w:r>
    </w:p>
    <w:p>
      <w:pPr>
        <w:pStyle w:val="Heading2"/>
      </w:pPr>
      <w:r>
        <w:t>Measure the workflow consistently</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520"/>
        <w:gridCol w:w="7416"/>
      </w:tblGrid>
      <w:tr>
        <w:trPr>
          <w:cantSplit/>
          <w:tblHeader/>
        </w:trPr>
        <w:tc>
          <w:tcPr>
            <w:tcW w:type="dxa" w:w="2520"/>
            <w:vAlign w:val="center"/>
            <w:shd w:fill="F4F4F5"/>
          </w:tcPr>
          <w:p>
            <w:pPr>
              <w:pStyle w:val="Tablecopy"/>
            </w:pPr>
            <w:r/>
            <w:r>
              <w:rPr>
                <w:rFonts w:ascii="Inter" w:hAnsi="Inter" w:eastAsia="Inter" w:cs="Inter"/>
                <w:b/>
                <w:color w:val="18181B"/>
                <w:sz w:val="21"/>
              </w:rPr>
              <w:t>Measure</w:t>
            </w:r>
          </w:p>
        </w:tc>
        <w:tc>
          <w:tcPr>
            <w:tcW w:type="dxa" w:w="7416"/>
            <w:vAlign w:val="center"/>
            <w:shd w:fill="F4F4F5"/>
          </w:tcPr>
          <w:p>
            <w:pPr>
              <w:pStyle w:val="Tablecopy"/>
            </w:pPr>
            <w:r/>
            <w:r>
              <w:rPr>
                <w:rFonts w:ascii="Inter" w:hAnsi="Inter" w:eastAsia="Inter" w:cs="Inter"/>
                <w:b/>
                <w:color w:val="18181B"/>
                <w:sz w:val="21"/>
              </w:rPr>
              <w:t>Definition to agree</w:t>
            </w:r>
          </w:p>
        </w:tc>
      </w:tr>
      <w:tr>
        <w:trPr>
          <w:cantSplit/>
        </w:trPr>
        <w:tc>
          <w:tcPr>
            <w:tcW w:type="dxa" w:w="2520"/>
            <w:vAlign w:val="center"/>
          </w:tcPr>
          <w:p>
            <w:pPr>
              <w:pStyle w:val="Tablecopy"/>
            </w:pPr>
            <w:r/>
            <w:r>
              <w:rPr>
                <w:rFonts w:ascii="Inter" w:hAnsi="Inter" w:eastAsia="Inter" w:cs="Inter"/>
                <w:b w:val="0"/>
                <w:color w:val="18181B"/>
                <w:sz w:val="21"/>
              </w:rPr>
              <w:t>Response time</w:t>
            </w:r>
          </w:p>
        </w:tc>
        <w:tc>
          <w:tcPr>
            <w:tcW w:type="dxa" w:w="7416"/>
            <w:vAlign w:val="center"/>
          </w:tcPr>
          <w:p>
            <w:pPr>
              <w:pStyle w:val="Tablecopy"/>
            </w:pPr>
            <w:r/>
            <w:r>
              <w:rPr>
                <w:rFonts w:ascii="Inter" w:hAnsi="Inter" w:eastAsia="Inter" w:cs="Inter"/>
                <w:b w:val="0"/>
                <w:color w:val="18181B"/>
                <w:sz w:val="21"/>
              </w:rPr>
              <w:t>Elapsed time from receipt to the defined meaningful response; report coverage rules and unresponded enquiries separately.</w:t>
            </w:r>
          </w:p>
        </w:tc>
      </w:tr>
      <w:tr>
        <w:trPr>
          <w:cantSplit/>
        </w:trPr>
        <w:tc>
          <w:tcPr>
            <w:tcW w:type="dxa" w:w="2520"/>
            <w:vAlign w:val="center"/>
          </w:tcPr>
          <w:p>
            <w:pPr>
              <w:pStyle w:val="Tablecopy"/>
            </w:pPr>
            <w:r/>
            <w:r>
              <w:rPr>
                <w:rFonts w:ascii="Inter" w:hAnsi="Inter" w:eastAsia="Inter" w:cs="Inter"/>
                <w:b w:val="0"/>
                <w:color w:val="18181B"/>
                <w:sz w:val="21"/>
              </w:rPr>
              <w:t>Stage progression</w:t>
            </w:r>
          </w:p>
        </w:tc>
        <w:tc>
          <w:tcPr>
            <w:tcW w:type="dxa" w:w="7416"/>
            <w:vAlign w:val="center"/>
          </w:tcPr>
          <w:p>
            <w:pPr>
              <w:pStyle w:val="Tablecopy"/>
            </w:pPr>
            <w:r/>
            <w:r>
              <w:rPr>
                <w:rFonts w:ascii="Inter" w:hAnsi="Inter" w:eastAsia="Inter" w:cs="Inter"/>
                <w:b w:val="0"/>
                <w:color w:val="18181B"/>
                <w:sz w:val="21"/>
              </w:rPr>
              <w:t>Enquiries entering the next stage divided by eligible enquiries in the starting cohort, with an explicit observation window.</w:t>
            </w:r>
          </w:p>
        </w:tc>
      </w:tr>
      <w:tr>
        <w:trPr>
          <w:cantSplit/>
        </w:trPr>
        <w:tc>
          <w:tcPr>
            <w:tcW w:type="dxa" w:w="2520"/>
            <w:vAlign w:val="center"/>
          </w:tcPr>
          <w:p>
            <w:pPr>
              <w:pStyle w:val="Tablecopy"/>
            </w:pPr>
            <w:r/>
            <w:r>
              <w:rPr>
                <w:rFonts w:ascii="Inter" w:hAnsi="Inter" w:eastAsia="Inter" w:cs="Inter"/>
                <w:b w:val="0"/>
                <w:color w:val="18181B"/>
                <w:sz w:val="21"/>
              </w:rPr>
              <w:t>Viewing attendance</w:t>
            </w:r>
          </w:p>
        </w:tc>
        <w:tc>
          <w:tcPr>
            <w:tcW w:type="dxa" w:w="7416"/>
            <w:vAlign w:val="center"/>
          </w:tcPr>
          <w:p>
            <w:pPr>
              <w:pStyle w:val="Tablecopy"/>
            </w:pPr>
            <w:r/>
            <w:r>
              <w:rPr>
                <w:rFonts w:ascii="Inter" w:hAnsi="Inter" w:eastAsia="Inter" w:cs="Inter"/>
                <w:b w:val="0"/>
                <w:color w:val="18181B"/>
                <w:sz w:val="21"/>
              </w:rPr>
              <w:t>Completed attended viewings divided by the defined scheduled-viewing population; state how reschedules and cancellations are treated.</w:t>
            </w:r>
          </w:p>
        </w:tc>
      </w:tr>
      <w:tr>
        <w:trPr>
          <w:cantSplit/>
        </w:trPr>
        <w:tc>
          <w:tcPr>
            <w:tcW w:type="dxa" w:w="2520"/>
            <w:vAlign w:val="center"/>
          </w:tcPr>
          <w:p>
            <w:pPr>
              <w:pStyle w:val="Tablecopy"/>
            </w:pPr>
            <w:r/>
            <w:r>
              <w:rPr>
                <w:rFonts w:ascii="Inter" w:hAnsi="Inter" w:eastAsia="Inter" w:cs="Inter"/>
                <w:b w:val="0"/>
                <w:color w:val="18181B"/>
                <w:sz w:val="21"/>
              </w:rPr>
              <w:t>Verified outcomes</w:t>
            </w:r>
          </w:p>
        </w:tc>
        <w:tc>
          <w:tcPr>
            <w:tcW w:type="dxa" w:w="7416"/>
            <w:vAlign w:val="center"/>
          </w:tcPr>
          <w:p>
            <w:pPr>
              <w:pStyle w:val="Tablecopy"/>
            </w:pPr>
            <w:r/>
            <w:r>
              <w:rPr>
                <w:rFonts w:ascii="Inter" w:hAnsi="Inter" w:eastAsia="Inter" w:cs="Inter"/>
                <w:b w:val="0"/>
                <w:color w:val="18181B"/>
                <w:sz w:val="21"/>
              </w:rPr>
              <w:t>Closed outcomes linked to valid transaction evidence; separate completed, lost, withdrawn and unsuitable reasons.</w:t>
            </w:r>
          </w:p>
        </w:tc>
      </w:tr>
      <w:tr>
        <w:trPr>
          <w:cantSplit/>
        </w:trPr>
        <w:tc>
          <w:tcPr>
            <w:tcW w:type="dxa" w:w="2520"/>
            <w:vAlign w:val="center"/>
          </w:tcPr>
          <w:p>
            <w:pPr>
              <w:pStyle w:val="Tablecopy"/>
            </w:pPr>
            <w:r/>
            <w:r>
              <w:rPr>
                <w:rFonts w:ascii="Inter" w:hAnsi="Inter" w:eastAsia="Inter" w:cs="Inter"/>
                <w:b w:val="0"/>
                <w:color w:val="18181B"/>
                <w:sz w:val="21"/>
              </w:rPr>
              <w:t>Queue health</w:t>
            </w:r>
          </w:p>
        </w:tc>
        <w:tc>
          <w:tcPr>
            <w:tcW w:type="dxa" w:w="7416"/>
            <w:vAlign w:val="center"/>
          </w:tcPr>
          <w:p>
            <w:pPr>
              <w:pStyle w:val="Tablecopy"/>
            </w:pPr>
            <w:r/>
            <w:r>
              <w:rPr>
                <w:rFonts w:ascii="Inter" w:hAnsi="Inter" w:eastAsia="Inter" w:cs="Inter"/>
                <w:b w:val="0"/>
                <w:color w:val="18181B"/>
                <w:sz w:val="21"/>
              </w:rPr>
              <w:t>Unassigned work, overdue next actions, unresolved exceptions and enquiries with no permitted contact route.</w:t>
            </w:r>
          </w:p>
        </w:tc>
      </w:tr>
    </w:tbl>
    <w:p>
      <w:pPr>
        <w:pStyle w:val="Tablegap"/>
      </w:pPr>
    </w:p>
    <w:p>
      <w:pPr>
        <w:pStyle w:val="Heading2"/>
      </w:pPr>
      <w:r>
        <w:t>Test changes before enabling them</w:t>
      </w:r>
    </w:p>
    <w:p>
      <w:r>
        <w:rPr>
          <w:rFonts w:ascii="Inter" w:hAnsi="Inter" w:eastAsia="Inter" w:cs="Inter"/>
          <w:b w:val="0"/>
          <w:color w:val="18181B"/>
        </w:rPr>
        <w:t>Rehearse a new enquiry, confirmed duplicate, transfer, restriction, failed send, cancelled viewing and closed record. Verify that each produces the correct owner, stage, next action and message behavior. Check that reopening a record does not restore a contact permission that was withdrawn.</w:t>
      </w:r>
    </w:p>
    <w:p>
      <w:pPr>
        <w:pStyle w:val="Fieldlabel"/>
      </w:pPr>
      <w:r>
        <w:rPr>
          <w:rFonts w:ascii="Inter" w:hAnsi="Inter" w:eastAsia="Inter" w:cs="Inter"/>
          <w:b/>
          <w:color w:val="18181B"/>
        </w:rPr>
        <w:t>Review cadence • accountable manager • reporting window</w:t>
      </w:r>
    </w:p>
    <w:sdt>
      <w:sdtPr>
        <w:alias w:val="Review cadence • accountable manager • reporting window"/>
        <w:tag w:val="field-19af4cc77d33"/>
        <w:id w:val="254826275"/>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Workflow change • rehearsal result • approval</w:t>
      </w:r>
    </w:p>
    <w:sdt>
      <w:sdtPr>
        <w:alias w:val="Workflow change • rehearsal result • approval"/>
        <w:tag w:val="field-82de79161724"/>
        <w:id w:val="13510975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Issue requiring improvement • owner • review date</w:t>
      </w:r>
    </w:p>
    <w:sdt>
      <w:sdtPr>
        <w:alias w:val="Issue requiring improvement • owner • review date"/>
        <w:tag w:val="field-27692dbe461f"/>
        <w:id w:val="142649414"/>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Review source and agent performance with comparable cohorts and observation windows. Raw enquiry volume alone does not show service quality or a completed commercial outcome.</w:t>
      </w:r>
    </w:p>
    <w:sectPr w:rsidR="00FC693F" w:rsidRPr="0006063C" w:rsidSect="00034616">
      <w:headerReference w:type="default" r:id="rId9"/>
      <w:footerReference w:type="default" r:id="rId10"/>
      <w:pgSz w:w="12240" w:h="15840"/>
      <w:pgMar w:top="1310" w:right="1152" w:bottom="1008" w:left="1152"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family w:val="swiss"/>
    <w:embedRegular r:id="rIdInter1" w:fontKey="{8ADAC9D5-A820-4916-9666-88727C0444E2}"/>
    <w:embedBold r:id="rIdInter2" w:fontKey="{C1CCC7E6-D993-47F3-AC0B-7601CE023B2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pPr>
    <w:r>
      <w:rPr>
        <w:rFonts w:ascii="Inter" w:hAnsi="Inter" w:eastAsia="Inter" w:cs="Inter"/>
        <w:b w:val="0"/>
        <w:color w:val="52525B"/>
        <w:sz w:val="16"/>
      </w:rPr>
      <w:t>© MT BYTES</w:t>
    </w:r>
    <w:r>
      <w:rPr>
        <w:rFonts w:ascii="Inter" w:hAnsi="Inter" w:eastAsia="Inter" w:cs="Inter"/>
        <w:color w:val="18181B"/>
        <w:sz w:val="16"/>
      </w:rPr>
      <w:tab/>
    </w:r>
    <w:r>
      <w:fldChar w:fldCharType="begin"/>
    </w:r>
    <w:r>
      <w:instrText> PAGE </w:instrText>
    </w:r>
    <w:r>
      <w:rPr>
        <w:rFonts w:ascii="Inter" w:hAnsi="Inter" w:eastAsia="Inter" w:cs="Inter"/>
        <w:b w:val="0"/>
        <w:color w:val="52525B"/>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36" w:val="right"/>
      </w:tabs>
      <w:spacing w:after="0"/>
    </w:pPr>
    <w:r>
      <w:drawing>
        <wp:inline xmlns:a="http://schemas.openxmlformats.org/drawingml/2006/main" xmlns:pic="http://schemas.openxmlformats.org/drawingml/2006/picture">
          <wp:extent cx="1307592" cy="345695"/>
          <wp:docPr id="1" name="Picture 1" descr="MT BYTES — Innovation in Motion"/>
          <wp:cNvGraphicFramePr>
            <a:graphicFrameLocks noChangeAspect="1"/>
          </wp:cNvGraphicFramePr>
          <a:graphic>
            <a:graphicData uri="http://schemas.openxmlformats.org/drawingml/2006/picture">
              <pic:pic>
                <pic:nvPicPr>
                  <pic:cNvPr id="0" name="mtbytes-logo.png"/>
                  <pic:cNvPicPr/>
                </pic:nvPicPr>
                <pic:blipFill>
                  <a:blip r:embed="rId1"/>
                  <a:stretch>
                    <a:fillRect/>
                  </a:stretch>
                </pic:blipFill>
                <pic:spPr>
                  <a:xfrm>
                    <a:off x="0" y="0"/>
                    <a:ext cx="1307592" cy="345695"/>
                  </a:xfrm>
                  <a:prstGeom prst="rect"/>
                </pic:spPr>
              </pic:pic>
            </a:graphicData>
          </a:graphic>
        </wp:inline>
      </w:drawing>
    </w:r>
    <w:r>
      <w:rPr>
        <w:rFonts w:ascii="Inter" w:hAnsi="Inter" w:eastAsia="Inter" w:cs="Inter"/>
        <w:b w:val="0"/>
        <w:color w:val="000000"/>
        <w:sz w:val="16"/>
      </w:rPr>
      <w:tab/>
      <w:t>Real Estate Lead Management Workflow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00"/>
    </w:pPr>
    <w:rPr>
      <w:rFonts w:ascii="Inter" w:hAnsi="Inter" w:eastAsia="Inter" w:cs="Inter"/>
      <w:color w:val="18181B"/>
      <w:sz w:val="22"/>
    </w:rPr>
  </w:style>
  <w:style w:type="paragraph" w:styleId="Header">
    <w:name w:val="header"/>
    <w:basedOn w:val="Normal"/>
    <w:link w:val="HeaderChar"/>
    <w:uiPriority w:val="99"/>
    <w:unhideWhenUsed/>
    <w:rsid w:val="00E618BF"/>
    <w:pPr>
      <w:widowControl/>
      <w:spacing w:after="0" w:line="240" w:lineRule="auto"/>
    </w:pPr>
    <w:rPr>
      <w:rFonts w:ascii="Inter" w:hAnsi="Inter" w:eastAsia="Inter" w:cs="Inter"/>
      <w:color w:val="000000"/>
    </w:rPr>
  </w:style>
  <w:style w:type="character" w:customStyle="1" w:styleId="HeaderChar">
    <w:name w:val="Header Char"/>
    <w:basedOn w:val="DefaultParagraphFont"/>
    <w:link w:val="Header"/>
    <w:uiPriority w:val="99"/>
    <w:rsid w:val="00E618BF"/>
    <w:rPr>
      <w:rFonts w:ascii="Inter" w:hAnsi="Inter" w:eastAsia="Inter" w:cs="Inter"/>
      <w:color w:val="000000"/>
    </w:rPr>
  </w:style>
  <w:style w:type="paragraph" w:styleId="Footer">
    <w:name w:val="footer"/>
    <w:basedOn w:val="Normal"/>
    <w:link w:val="FooterChar"/>
    <w:uiPriority w:val="99"/>
    <w:unhideWhenUsed/>
    <w:rsid w:val="00E618BF"/>
    <w:pPr>
      <w:widowControl/>
      <w:spacing w:after="0" w:line="240" w:lineRule="auto"/>
    </w:pPr>
    <w:rPr>
      <w:rFonts w:ascii="Inter" w:hAnsi="Inter" w:eastAsia="Inter" w:cs="Inter"/>
      <w:color w:val="000000"/>
    </w:rPr>
  </w:style>
  <w:style w:type="character" w:customStyle="1" w:styleId="FooterChar">
    <w:name w:val="Footer Char"/>
    <w:basedOn w:val="DefaultParagraphFont"/>
    <w:link w:val="Footer"/>
    <w:uiPriority w:val="99"/>
    <w:rsid w:val="00E618BF"/>
    <w:rPr>
      <w:rFonts w:ascii="Inter" w:hAnsi="Inter" w:eastAsia="Inter" w:cs="Inter"/>
      <w:color w:val="000000"/>
    </w:rPr>
  </w:style>
  <w:style w:type="paragraph" w:styleId="Heading1">
    <w:name w:val="heading 1"/>
    <w:basedOn w:val="Normal"/>
    <w:next w:val="Normal"/>
    <w:link w:val="Heading1Char"/>
    <w:uiPriority w:val="9"/>
    <w:qFormat/>
    <w:rsid w:val="00FC693F"/>
    <w:pPr>
      <w:keepNext/>
      <w:keepLines/>
      <w:widowControl/>
      <w:spacing w:before="0" w:after="240" w:line="252" w:lineRule="auto"/>
      <w:outlineLvl w:val="0"/>
    </w:pPr>
    <w:rPr>
      <w:rFonts w:ascii="Inter" w:hAnsi="Inter" w:eastAsia="Inter" w:cs="Inter"/>
      <w:b/>
      <w:bCs/>
      <w:color w:val="000000"/>
      <w:sz w:val="46"/>
      <w:szCs w:val="28"/>
    </w:rPr>
  </w:style>
  <w:style w:type="paragraph" w:styleId="Heading2">
    <w:name w:val="heading 2"/>
    <w:basedOn w:val="Normal"/>
    <w:next w:val="Normal"/>
    <w:link w:val="Heading2Char"/>
    <w:uiPriority w:val="9"/>
    <w:unhideWhenUsed/>
    <w:qFormat/>
    <w:rsid w:val="00FC693F"/>
    <w:pPr>
      <w:keepNext/>
      <w:keepLines/>
      <w:widowControl/>
      <w:spacing w:before="160" w:after="140" w:line="252" w:lineRule="auto"/>
      <w:outlineLvl w:val="1"/>
    </w:pPr>
    <w:rPr>
      <w:rFonts w:ascii="Inter" w:hAnsi="Inter" w:eastAsia="Inter" w:cs="Inter"/>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160" w:after="120" w:line="252" w:lineRule="auto"/>
      <w:outlineLvl w:val="2"/>
    </w:pPr>
    <w:rPr>
      <w:rFonts w:ascii="Inter" w:hAnsi="Inter" w:eastAsia="Inter" w:cs="Inter"/>
      <w:b/>
      <w:bCs/>
      <w:color w:val="000000"/>
      <w:sz w:val="22"/>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Inter" w:hAnsi="Inter" w:eastAsia="Inter" w:cs="Inter"/>
      <w:b/>
      <w:bCs/>
      <w:i/>
      <w:iCs/>
      <w:color w:val="000000"/>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Inter" w:hAnsi="Inter" w:eastAsia="Inter" w:cs="Inter"/>
      <w:color w:val="000000"/>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Inter" w:hAnsi="Inter" w:eastAsia="Inter" w:cs="Inter"/>
      <w:i/>
      <w:iCs/>
      <w:color w:val="000000"/>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Inter" w:hAnsi="Inter" w:eastAsia="Inter" w:cs="Inter"/>
      <w:i/>
      <w:iCs/>
      <w:color w:val="000000"/>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Inter" w:hAnsi="Inter" w:eastAsia="Inter" w:cs="Inter"/>
      <w:color w:val="000000"/>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Inter" w:hAnsi="Inter" w:eastAsia="Inter" w:cs="Inter"/>
      <w:i/>
      <w:iCs/>
      <w:color w:val="000000"/>
      <w:sz w:val="20"/>
      <w:szCs w:val="20"/>
    </w:rPr>
  </w:style>
  <w:style w:type="character" w:default="1" w:styleId="DefaultParagraphFont">
    <w:name w:val="Default Paragraph Font"/>
    <w:uiPriority w:val="1"/>
    <w:semiHidden/>
    <w:unhideWhenUsed/>
    <w:rPr>
      <w:rFonts w:ascii="Inter" w:hAnsi="Inter" w:eastAsia="Inter" w:cs="Inte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rPr>
      <w:rFonts w:ascii="Inter" w:hAnsi="Inter" w:eastAsia="Inter" w:cs="Inter"/>
      <w:color w:val="000000"/>
    </w:rPr>
  </w:style>
  <w:style w:type="character" w:customStyle="1" w:styleId="Heading1Char">
    <w:name w:val="Heading 1 Char"/>
    <w:basedOn w:val="DefaultParagraphFont"/>
    <w:link w:val="Heading1"/>
    <w:uiPriority w:val="9"/>
    <w:rsid w:val="00FC693F"/>
    <w:rPr>
      <w:rFonts w:ascii="Inter" w:hAnsi="Inter" w:eastAsia="Inter" w:cs="Inter"/>
      <w:b/>
      <w:bCs/>
      <w:color w:val="000000"/>
      <w:sz w:val="28"/>
      <w:szCs w:val="28"/>
    </w:rPr>
  </w:style>
  <w:style w:type="character" w:customStyle="1" w:styleId="Heading2Char">
    <w:name w:val="Heading 2 Char"/>
    <w:basedOn w:val="DefaultParagraphFont"/>
    <w:link w:val="Heading2"/>
    <w:uiPriority w:val="9"/>
    <w:rsid w:val="00FC693F"/>
    <w:rPr>
      <w:rFonts w:ascii="Inter" w:hAnsi="Inter" w:eastAsia="Inter" w:cs="Inter"/>
      <w:b/>
      <w:bCs/>
      <w:color w:val="000000"/>
      <w:sz w:val="26"/>
      <w:szCs w:val="26"/>
    </w:rPr>
  </w:style>
  <w:style w:type="character" w:customStyle="1" w:styleId="Heading3Char">
    <w:name w:val="Heading 3 Char"/>
    <w:basedOn w:val="DefaultParagraphFont"/>
    <w:link w:val="Heading3"/>
    <w:uiPriority w:val="9"/>
    <w:rsid w:val="00FC693F"/>
    <w:rPr>
      <w:rFonts w:ascii="Inter" w:hAnsi="Inter" w:eastAsia="Inter" w:cs="Inter"/>
      <w:b/>
      <w:bCs/>
      <w:color w:val="000000"/>
    </w:rPr>
  </w:style>
  <w:style w:type="paragraph" w:styleId="Title">
    <w:name w:val="Title"/>
    <w:basedOn w:val="Normal"/>
    <w:next w:val="Normal"/>
    <w:link w:val="TitleChar"/>
    <w:uiPriority w:val="10"/>
    <w:qFormat/>
    <w:rsid w:val="00FC693F"/>
    <w:pPr>
      <w:keepNext/>
      <w:widowControl/>
      <w:spacing w:after="240" w:line="252" w:lineRule="auto" w:before="0"/>
      <w:contextualSpacing/>
    </w:pPr>
    <w:rPr>
      <w:rFonts w:ascii="Inter" w:hAnsi="Inter" w:eastAsia="Inter" w:cs="Inter"/>
      <w:b/>
      <w:color w:val="000000"/>
      <w:spacing w:val="5"/>
      <w:kern w:val="28"/>
      <w:sz w:val="58"/>
      <w:szCs w:val="52"/>
    </w:rPr>
  </w:style>
  <w:style w:type="character" w:customStyle="1" w:styleId="TitleChar">
    <w:name w:val="Title Char"/>
    <w:basedOn w:val="DefaultParagraphFont"/>
    <w:link w:val="Title"/>
    <w:uiPriority w:val="10"/>
    <w:rsid w:val="00FC693F"/>
    <w:rPr>
      <w:rFonts w:ascii="Inter" w:hAnsi="Inter" w:eastAsia="Inter" w:cs="Inter"/>
      <w:color w:val="000000"/>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Inter" w:hAnsi="Inter" w:eastAsia="Inter" w:cs="Inter"/>
      <w:i/>
      <w:iCs/>
      <w:color w:val="000000"/>
      <w:spacing w:val="15"/>
      <w:sz w:val="24"/>
      <w:szCs w:val="24"/>
    </w:rPr>
  </w:style>
  <w:style w:type="character" w:customStyle="1" w:styleId="SubtitleChar">
    <w:name w:val="Subtitle Char"/>
    <w:basedOn w:val="DefaultParagraphFont"/>
    <w:link w:val="Subtitle"/>
    <w:uiPriority w:val="11"/>
    <w:rsid w:val="00FC693F"/>
    <w:rPr>
      <w:rFonts w:ascii="Inter" w:hAnsi="Inter" w:eastAsia="Inter" w:cs="Inter"/>
      <w:i/>
      <w:iCs/>
      <w:color w:val="000000"/>
      <w:spacing w:val="15"/>
      <w:sz w:val="24"/>
      <w:szCs w:val="24"/>
    </w:rPr>
  </w:style>
  <w:style w:type="paragraph" w:styleId="ListParagraph">
    <w:name w:val="List Paragraph"/>
    <w:basedOn w:val="Normal"/>
    <w:uiPriority w:val="34"/>
    <w:qFormat/>
    <w:rsid w:val="00FC693F"/>
    <w:pPr>
      <w:widowControl/>
      <w:ind w:left="720"/>
      <w:contextualSpacing/>
    </w:pPr>
    <w:rPr>
      <w:rFonts w:ascii="Inter" w:hAnsi="Inter" w:eastAsia="Inter" w:cs="Inter"/>
      <w:color w:val="000000"/>
    </w:rPr>
  </w:style>
  <w:style w:type="paragraph" w:styleId="BodyText">
    <w:name w:val="Body Text"/>
    <w:basedOn w:val="Normal"/>
    <w:link w:val="BodyTextChar"/>
    <w:uiPriority w:val="99"/>
    <w:unhideWhenUsed/>
    <w:rsid w:val="00AA1D8D"/>
    <w:pPr>
      <w:widowControl/>
      <w:spacing w:after="120"/>
    </w:pPr>
    <w:rPr>
      <w:rFonts w:ascii="Inter" w:hAnsi="Inter" w:eastAsia="Inter" w:cs="Inter"/>
      <w:color w:val="000000"/>
    </w:rPr>
  </w:style>
  <w:style w:type="character" w:customStyle="1" w:styleId="BodyTextChar">
    <w:name w:val="Body Text Char"/>
    <w:basedOn w:val="DefaultParagraphFont"/>
    <w:link w:val="BodyText"/>
    <w:uiPriority w:val="99"/>
    <w:rsid w:val="00AA1D8D"/>
    <w:rPr>
      <w:rFonts w:ascii="Inter" w:hAnsi="Inter" w:eastAsia="Inter" w:cs="Inter"/>
      <w:color w:val="000000"/>
    </w:rPr>
  </w:style>
  <w:style w:type="paragraph" w:styleId="BodyText2">
    <w:name w:val="Body Text 2"/>
    <w:basedOn w:val="Normal"/>
    <w:link w:val="BodyText2Char"/>
    <w:uiPriority w:val="99"/>
    <w:unhideWhenUsed/>
    <w:rsid w:val="00AA1D8D"/>
    <w:pPr>
      <w:widowControl/>
      <w:spacing w:after="120" w:line="480" w:lineRule="auto"/>
    </w:pPr>
    <w:rPr>
      <w:rFonts w:ascii="Inter" w:hAnsi="Inter" w:eastAsia="Inter" w:cs="Inter"/>
      <w:color w:val="000000"/>
    </w:rPr>
  </w:style>
  <w:style w:type="character" w:customStyle="1" w:styleId="BodyText2Char">
    <w:name w:val="Body Text 2 Char"/>
    <w:basedOn w:val="DefaultParagraphFont"/>
    <w:link w:val="BodyText2"/>
    <w:uiPriority w:val="99"/>
    <w:rsid w:val="00AA1D8D"/>
    <w:rPr>
      <w:rFonts w:ascii="Inter" w:hAnsi="Inter" w:eastAsia="Inter" w:cs="Inter"/>
      <w:color w:val="000000"/>
    </w:rPr>
  </w:style>
  <w:style w:type="paragraph" w:styleId="BodyText3">
    <w:name w:val="Body Text 3"/>
    <w:basedOn w:val="Normal"/>
    <w:link w:val="BodyText3Char"/>
    <w:uiPriority w:val="99"/>
    <w:unhideWhenUsed/>
    <w:rsid w:val="00AA1D8D"/>
    <w:pPr>
      <w:widowControl/>
      <w:spacing w:after="120"/>
    </w:pPr>
    <w:rPr>
      <w:rFonts w:ascii="Inter" w:hAnsi="Inter" w:eastAsia="Inter" w:cs="Inter"/>
      <w:color w:val="000000"/>
      <w:sz w:val="16"/>
      <w:szCs w:val="16"/>
    </w:rPr>
  </w:style>
  <w:style w:type="character" w:customStyle="1" w:styleId="BodyText3Char">
    <w:name w:val="Body Text 3 Char"/>
    <w:basedOn w:val="DefaultParagraphFont"/>
    <w:link w:val="BodyText3"/>
    <w:uiPriority w:val="99"/>
    <w:rsid w:val="00AA1D8D"/>
    <w:rPr>
      <w:rFonts w:ascii="Inter" w:hAnsi="Inter" w:eastAsia="Inter" w:cs="Inter"/>
      <w:color w:val="000000"/>
      <w:sz w:val="16"/>
      <w:szCs w:val="16"/>
    </w:rPr>
  </w:style>
  <w:style w:type="paragraph" w:styleId="List">
    <w:name w:val="List"/>
    <w:basedOn w:val="Normal"/>
    <w:uiPriority w:val="99"/>
    <w:unhideWhenUsed/>
    <w:rsid w:val="00AA1D8D"/>
    <w:pPr>
      <w:widowControl/>
      <w:ind w:left="360" w:hanging="360"/>
      <w:contextualSpacing/>
    </w:pPr>
    <w:rPr>
      <w:rFonts w:ascii="Inter" w:hAnsi="Inter" w:eastAsia="Inter" w:cs="Inter"/>
      <w:color w:val="000000"/>
    </w:rPr>
  </w:style>
  <w:style w:type="paragraph" w:styleId="List2">
    <w:name w:val="List 2"/>
    <w:basedOn w:val="Normal"/>
    <w:uiPriority w:val="99"/>
    <w:unhideWhenUsed/>
    <w:rsid w:val="00326F90"/>
    <w:pPr>
      <w:widowControl/>
      <w:ind w:left="720" w:hanging="360"/>
      <w:contextualSpacing/>
    </w:pPr>
    <w:rPr>
      <w:rFonts w:ascii="Inter" w:hAnsi="Inter" w:eastAsia="Inter" w:cs="Inter"/>
      <w:color w:val="000000"/>
    </w:rPr>
  </w:style>
  <w:style w:type="paragraph" w:styleId="List3">
    <w:name w:val="List 3"/>
    <w:basedOn w:val="Normal"/>
    <w:uiPriority w:val="99"/>
    <w:unhideWhenUsed/>
    <w:rsid w:val="00326F90"/>
    <w:pPr>
      <w:widowControl/>
      <w:ind w:left="1080" w:hanging="360"/>
      <w:contextualSpacing/>
    </w:pPr>
    <w:rPr>
      <w:rFonts w:ascii="Inter" w:hAnsi="Inter" w:eastAsia="Inter" w:cs="Inter"/>
      <w:color w:val="000000"/>
    </w:rPr>
  </w:style>
  <w:style w:type="paragraph" w:styleId="ListBullet">
    <w:name w:val="List Bullet"/>
    <w:basedOn w:val="Normal"/>
    <w:uiPriority w:val="99"/>
    <w:unhideWhenUsed/>
    <w:rsid w:val="00326F90"/>
    <w:pPr>
      <w:widowControl/>
      <w:numPr>
        <w:numId w:val="1"/>
      </w:numPr>
      <w:contextualSpacing/>
    </w:pPr>
    <w:rPr>
      <w:rFonts w:ascii="Inter" w:hAnsi="Inter" w:eastAsia="Inter" w:cs="Inter"/>
      <w:color w:val="000000"/>
    </w:rPr>
  </w:style>
  <w:style w:type="paragraph" w:styleId="ListBullet2">
    <w:name w:val="List Bullet 2"/>
    <w:basedOn w:val="Normal"/>
    <w:uiPriority w:val="99"/>
    <w:unhideWhenUsed/>
    <w:rsid w:val="00326F90"/>
    <w:pPr>
      <w:widowControl/>
      <w:numPr>
        <w:numId w:val="2"/>
      </w:numPr>
      <w:contextualSpacing/>
    </w:pPr>
    <w:rPr>
      <w:rFonts w:ascii="Inter" w:hAnsi="Inter" w:eastAsia="Inter" w:cs="Inter"/>
      <w:color w:val="000000"/>
    </w:rPr>
  </w:style>
  <w:style w:type="paragraph" w:styleId="ListBullet3">
    <w:name w:val="List Bullet 3"/>
    <w:basedOn w:val="Normal"/>
    <w:uiPriority w:val="99"/>
    <w:unhideWhenUsed/>
    <w:rsid w:val="00326F90"/>
    <w:pPr>
      <w:widowControl/>
      <w:numPr>
        <w:numId w:val="3"/>
      </w:numPr>
      <w:contextualSpacing/>
    </w:pPr>
    <w:rPr>
      <w:rFonts w:ascii="Inter" w:hAnsi="Inter" w:eastAsia="Inter" w:cs="Inter"/>
      <w:color w:val="000000"/>
    </w:rPr>
  </w:style>
  <w:style w:type="paragraph" w:styleId="ListNumber">
    <w:name w:val="List Number"/>
    <w:basedOn w:val="Normal"/>
    <w:uiPriority w:val="99"/>
    <w:unhideWhenUsed/>
    <w:rsid w:val="00326F90"/>
    <w:pPr>
      <w:widowControl/>
      <w:numPr>
        <w:numId w:val="5"/>
      </w:numPr>
      <w:contextualSpacing/>
    </w:pPr>
    <w:rPr>
      <w:rFonts w:ascii="Inter" w:hAnsi="Inter" w:eastAsia="Inter" w:cs="Inter"/>
      <w:color w:val="000000"/>
    </w:rPr>
  </w:style>
  <w:style w:type="paragraph" w:styleId="ListNumber2">
    <w:name w:val="List Number 2"/>
    <w:basedOn w:val="Normal"/>
    <w:uiPriority w:val="99"/>
    <w:unhideWhenUsed/>
    <w:rsid w:val="0029639D"/>
    <w:pPr>
      <w:widowControl/>
      <w:numPr>
        <w:numId w:val="6"/>
      </w:numPr>
      <w:contextualSpacing/>
    </w:pPr>
    <w:rPr>
      <w:rFonts w:ascii="Inter" w:hAnsi="Inter" w:eastAsia="Inter" w:cs="Inter"/>
      <w:color w:val="000000"/>
    </w:rPr>
  </w:style>
  <w:style w:type="paragraph" w:styleId="ListNumber3">
    <w:name w:val="List Number 3"/>
    <w:basedOn w:val="Normal"/>
    <w:uiPriority w:val="99"/>
    <w:unhideWhenUsed/>
    <w:rsid w:val="0029639D"/>
    <w:pPr>
      <w:widowControl/>
      <w:numPr>
        <w:numId w:val="7"/>
      </w:numPr>
      <w:contextualSpacing/>
    </w:pPr>
    <w:rPr>
      <w:rFonts w:ascii="Inter" w:hAnsi="Inter" w:eastAsia="Inter" w:cs="Inter"/>
      <w:color w:val="000000"/>
    </w:rPr>
  </w:style>
  <w:style w:type="paragraph" w:styleId="ListContinue">
    <w:name w:val="List Continue"/>
    <w:basedOn w:val="Normal"/>
    <w:uiPriority w:val="99"/>
    <w:unhideWhenUsed/>
    <w:rsid w:val="0029639D"/>
    <w:pPr>
      <w:widowControl/>
      <w:spacing w:after="120"/>
      <w:ind w:left="360"/>
      <w:contextualSpacing/>
    </w:pPr>
    <w:rPr>
      <w:rFonts w:ascii="Inter" w:hAnsi="Inter" w:eastAsia="Inter" w:cs="Inter"/>
      <w:color w:val="000000"/>
    </w:rPr>
  </w:style>
  <w:style w:type="paragraph" w:styleId="ListContinue2">
    <w:name w:val="List Continue 2"/>
    <w:basedOn w:val="Normal"/>
    <w:uiPriority w:val="99"/>
    <w:unhideWhenUsed/>
    <w:rsid w:val="0029639D"/>
    <w:pPr>
      <w:widowControl/>
      <w:spacing w:after="120"/>
      <w:ind w:left="720"/>
      <w:contextualSpacing/>
    </w:pPr>
    <w:rPr>
      <w:rFonts w:ascii="Inter" w:hAnsi="Inter" w:eastAsia="Inter" w:cs="Inter"/>
      <w:color w:val="000000"/>
    </w:rPr>
  </w:style>
  <w:style w:type="paragraph" w:styleId="ListContinue3">
    <w:name w:val="List Continue 3"/>
    <w:basedOn w:val="Normal"/>
    <w:uiPriority w:val="99"/>
    <w:unhideWhenUsed/>
    <w:rsid w:val="0029639D"/>
    <w:pPr>
      <w:widowControl/>
      <w:spacing w:after="120"/>
      <w:ind w:left="1080"/>
      <w:contextualSpacing/>
    </w:pPr>
    <w:rPr>
      <w:rFonts w:ascii="Inter" w:hAnsi="Inter" w:eastAsia="Inter" w:cs="Inter"/>
      <w:color w:val="000000"/>
    </w:r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Inter" w:hAnsi="Inter" w:eastAsia="Inter" w:cs="Inter"/>
      <w:color w:val="000000"/>
      <w:sz w:val="20"/>
      <w:szCs w:val="20"/>
    </w:rPr>
  </w:style>
  <w:style w:type="character" w:customStyle="1" w:styleId="MacroTextChar">
    <w:name w:val="Macro Text Char"/>
    <w:basedOn w:val="DefaultParagraphFont"/>
    <w:link w:val="MacroText"/>
    <w:uiPriority w:val="99"/>
    <w:rsid w:val="0029639D"/>
    <w:rPr>
      <w:rFonts w:ascii="Inter" w:hAnsi="Inter" w:eastAsia="Inter" w:cs="Inter"/>
      <w:color w:val="000000"/>
      <w:sz w:val="20"/>
      <w:szCs w:val="20"/>
    </w:rPr>
  </w:style>
  <w:style w:type="paragraph" w:styleId="Quote">
    <w:name w:val="Quote"/>
    <w:basedOn w:val="Normal"/>
    <w:next w:val="Normal"/>
    <w:link w:val="QuoteChar"/>
    <w:uiPriority w:val="29"/>
    <w:qFormat/>
    <w:rsid w:val="00FC693F"/>
    <w:pPr>
      <w:widowControl/>
    </w:pPr>
    <w:rPr>
      <w:rFonts w:ascii="Inter" w:hAnsi="Inter" w:eastAsia="Inter" w:cs="Inter"/>
      <w:i/>
      <w:iCs/>
      <w:color w:val="000000"/>
    </w:rPr>
  </w:style>
  <w:style w:type="character" w:customStyle="1" w:styleId="QuoteChar">
    <w:name w:val="Quote Char"/>
    <w:basedOn w:val="DefaultParagraphFont"/>
    <w:link w:val="Quote"/>
    <w:uiPriority w:val="29"/>
    <w:rsid w:val="00FC693F"/>
    <w:rPr>
      <w:rFonts w:ascii="Inter" w:hAnsi="Inter" w:eastAsia="Inter" w:cs="Inter"/>
      <w:i/>
      <w:iCs/>
      <w:color w:val="000000"/>
    </w:rPr>
  </w:style>
  <w:style w:type="character" w:customStyle="1" w:styleId="Heading4Char">
    <w:name w:val="Heading 4 Char"/>
    <w:basedOn w:val="DefaultParagraphFont"/>
    <w:link w:val="Heading4"/>
    <w:uiPriority w:val="9"/>
    <w:semiHidden/>
    <w:rsid w:val="00FC693F"/>
    <w:rPr>
      <w:rFonts w:ascii="Inter" w:hAnsi="Inter" w:eastAsia="Inter" w:cs="Inter"/>
      <w:b/>
      <w:bCs/>
      <w:i/>
      <w:iCs/>
      <w:color w:val="000000"/>
    </w:rPr>
  </w:style>
  <w:style w:type="character" w:customStyle="1" w:styleId="Heading5Char">
    <w:name w:val="Heading 5 Char"/>
    <w:basedOn w:val="DefaultParagraphFont"/>
    <w:link w:val="Heading5"/>
    <w:uiPriority w:val="9"/>
    <w:semiHidden/>
    <w:rsid w:val="00FC693F"/>
    <w:rPr>
      <w:rFonts w:ascii="Inter" w:hAnsi="Inter" w:eastAsia="Inter" w:cs="Inter"/>
      <w:color w:val="000000"/>
    </w:rPr>
  </w:style>
  <w:style w:type="character" w:customStyle="1" w:styleId="Heading6Char">
    <w:name w:val="Heading 6 Char"/>
    <w:basedOn w:val="DefaultParagraphFont"/>
    <w:link w:val="Heading6"/>
    <w:uiPriority w:val="9"/>
    <w:semiHidden/>
    <w:rsid w:val="00FC693F"/>
    <w:rPr>
      <w:rFonts w:ascii="Inter" w:hAnsi="Inter" w:eastAsia="Inter" w:cs="Inter"/>
      <w:i/>
      <w:iCs/>
      <w:color w:val="000000"/>
    </w:rPr>
  </w:style>
  <w:style w:type="character" w:customStyle="1" w:styleId="Heading7Char">
    <w:name w:val="Heading 7 Char"/>
    <w:basedOn w:val="DefaultParagraphFont"/>
    <w:link w:val="Heading7"/>
    <w:uiPriority w:val="9"/>
    <w:semiHidden/>
    <w:rsid w:val="00FC693F"/>
    <w:rPr>
      <w:rFonts w:ascii="Inter" w:hAnsi="Inter" w:eastAsia="Inter" w:cs="Inter"/>
      <w:i/>
      <w:iCs/>
      <w:color w:val="000000"/>
    </w:rPr>
  </w:style>
  <w:style w:type="character" w:customStyle="1" w:styleId="Heading8Char">
    <w:name w:val="Heading 8 Char"/>
    <w:basedOn w:val="DefaultParagraphFont"/>
    <w:link w:val="Heading8"/>
    <w:uiPriority w:val="9"/>
    <w:semiHidden/>
    <w:rsid w:val="00FC693F"/>
    <w:rPr>
      <w:rFonts w:ascii="Inter" w:hAnsi="Inter" w:eastAsia="Inter" w:cs="Inter"/>
      <w:color w:val="000000"/>
      <w:sz w:val="20"/>
      <w:szCs w:val="20"/>
    </w:rPr>
  </w:style>
  <w:style w:type="character" w:customStyle="1" w:styleId="Heading9Char">
    <w:name w:val="Heading 9 Char"/>
    <w:basedOn w:val="DefaultParagraphFont"/>
    <w:link w:val="Heading9"/>
    <w:uiPriority w:val="9"/>
    <w:semiHidden/>
    <w:rsid w:val="00FC693F"/>
    <w:rPr>
      <w:rFonts w:ascii="Inter" w:hAnsi="Inter" w:eastAsia="Inter" w:cs="Inter"/>
      <w:i/>
      <w:iCs/>
      <w:color w:val="000000"/>
      <w:sz w:val="20"/>
      <w:szCs w:val="20"/>
    </w:rPr>
  </w:style>
  <w:style w:type="paragraph" w:styleId="Caption">
    <w:name w:val="caption"/>
    <w:basedOn w:val="Normal"/>
    <w:next w:val="Normal"/>
    <w:uiPriority w:val="35"/>
    <w:semiHidden/>
    <w:unhideWhenUsed/>
    <w:qFormat/>
    <w:rsid w:val="00FC693F"/>
    <w:pPr>
      <w:widowControl/>
      <w:spacing w:line="240" w:lineRule="auto"/>
    </w:pPr>
    <w:rPr>
      <w:rFonts w:ascii="Inter" w:hAnsi="Inter" w:eastAsia="Inter" w:cs="Inter"/>
      <w:b/>
      <w:bCs/>
      <w:color w:val="000000"/>
      <w:sz w:val="18"/>
      <w:szCs w:val="18"/>
    </w:rPr>
  </w:style>
  <w:style w:type="character" w:styleId="Strong">
    <w:name w:val="Strong"/>
    <w:basedOn w:val="DefaultParagraphFont"/>
    <w:uiPriority w:val="22"/>
    <w:qFormat/>
    <w:rsid w:val="00FC693F"/>
    <w:rPr>
      <w:rFonts w:ascii="Inter" w:hAnsi="Inter" w:eastAsia="Inter" w:cs="Inter"/>
      <w:b/>
      <w:bCs/>
      <w:color w:val="000000"/>
    </w:rPr>
  </w:style>
  <w:style w:type="character" w:styleId="Emphasis">
    <w:name w:val="Emphasis"/>
    <w:basedOn w:val="DefaultParagraphFont"/>
    <w:uiPriority w:val="20"/>
    <w:qFormat/>
    <w:rsid w:val="00FC693F"/>
    <w:rPr>
      <w:rFonts w:ascii="Inter" w:hAnsi="Inter" w:eastAsia="Inter" w:cs="Inter"/>
      <w:i/>
      <w:iCs/>
      <w:color w:val="000000"/>
    </w:rPr>
  </w:style>
  <w:style w:type="paragraph" w:styleId="IntenseQuote">
    <w:name w:val="Intense Quote"/>
    <w:basedOn w:val="Normal"/>
    <w:next w:val="Normal"/>
    <w:link w:val="IntenseQuoteChar"/>
    <w:uiPriority w:val="30"/>
    <w:qFormat/>
    <w:rsid w:val="00FC693F"/>
    <w:pPr>
      <w:widowControl/>
      <w:spacing w:before="200" w:after="280"/>
      <w:ind w:left="936" w:right="936"/>
    </w:pPr>
    <w:rPr>
      <w:rFonts w:ascii="Inter" w:hAnsi="Inter" w:eastAsia="Inter" w:cs="Inter"/>
      <w:b/>
      <w:bCs/>
      <w:i/>
      <w:iCs/>
      <w:color w:val="000000"/>
    </w:rPr>
  </w:style>
  <w:style w:type="character" w:customStyle="1" w:styleId="IntenseQuoteChar">
    <w:name w:val="Intense Quote Char"/>
    <w:basedOn w:val="DefaultParagraphFont"/>
    <w:link w:val="IntenseQuote"/>
    <w:uiPriority w:val="30"/>
    <w:rsid w:val="00FC693F"/>
    <w:rPr>
      <w:rFonts w:ascii="Inter" w:hAnsi="Inter" w:eastAsia="Inter" w:cs="Inter"/>
      <w:b/>
      <w:bCs/>
      <w:i/>
      <w:iCs/>
      <w:color w:val="000000"/>
    </w:rPr>
  </w:style>
  <w:style w:type="character" w:styleId="SubtleEmphasis">
    <w:name w:val="Subtle Emphasis"/>
    <w:basedOn w:val="DefaultParagraphFont"/>
    <w:uiPriority w:val="19"/>
    <w:qFormat/>
    <w:rsid w:val="00FC693F"/>
    <w:rPr>
      <w:rFonts w:ascii="Inter" w:hAnsi="Inter" w:eastAsia="Inter" w:cs="Inter"/>
      <w:i/>
      <w:iCs/>
      <w:color w:val="000000"/>
    </w:rPr>
  </w:style>
  <w:style w:type="character" w:styleId="IntenseEmphasis">
    <w:name w:val="Intense Emphasis"/>
    <w:basedOn w:val="DefaultParagraphFont"/>
    <w:uiPriority w:val="21"/>
    <w:qFormat/>
    <w:rsid w:val="00FC693F"/>
    <w:rPr>
      <w:rFonts w:ascii="Inter" w:hAnsi="Inter" w:eastAsia="Inter" w:cs="Inter"/>
      <w:b/>
      <w:bCs/>
      <w:i/>
      <w:iCs/>
      <w:color w:val="000000"/>
    </w:rPr>
  </w:style>
  <w:style w:type="character" w:styleId="SubtleReference">
    <w:name w:val="Subtle Reference"/>
    <w:basedOn w:val="DefaultParagraphFont"/>
    <w:uiPriority w:val="31"/>
    <w:qFormat/>
    <w:rsid w:val="00FC693F"/>
    <w:rPr>
      <w:rFonts w:ascii="Inter" w:hAnsi="Inter" w:eastAsia="Inter" w:cs="Inter"/>
      <w:smallCaps/>
      <w:color w:val="000000"/>
      <w:u w:val="single"/>
    </w:rPr>
  </w:style>
  <w:style w:type="character" w:styleId="IntenseReference">
    <w:name w:val="Intense Reference"/>
    <w:basedOn w:val="DefaultParagraphFont"/>
    <w:uiPriority w:val="32"/>
    <w:qFormat/>
    <w:rsid w:val="00FC693F"/>
    <w:rPr>
      <w:rFonts w:ascii="Inter" w:hAnsi="Inter" w:eastAsia="Inter" w:cs="Inter"/>
      <w:b/>
      <w:bCs/>
      <w:smallCaps/>
      <w:color w:val="000000"/>
      <w:spacing w:val="5"/>
      <w:u w:val="single"/>
    </w:rPr>
  </w:style>
  <w:style w:type="character" w:styleId="BookTitle">
    <w:name w:val="Book Title"/>
    <w:basedOn w:val="DefaultParagraphFont"/>
    <w:uiPriority w:val="33"/>
    <w:qFormat/>
    <w:rsid w:val="00FC693F"/>
    <w:rPr>
      <w:rFonts w:ascii="Inter" w:hAnsi="Inter" w:eastAsia="Inter" w:cs="Inter"/>
      <w:b/>
      <w:bCs/>
      <w:smallCaps/>
      <w:color w:val="000000"/>
      <w:spacing w:val="5"/>
    </w:rPr>
  </w:style>
  <w:style w:type="paragraph" w:styleId="TOCHeading">
    <w:name w:val="TOC Heading"/>
    <w:basedOn w:val="Heading1"/>
    <w:next w:val="Normal"/>
    <w:uiPriority w:val="39"/>
    <w:semiHidden/>
    <w:unhideWhenUsed/>
    <w:qFormat/>
    <w:rsid w:val="00FC693F"/>
    <w:pPr>
      <w:widowControl/>
      <w:outlineLvl w:val="9"/>
    </w:pPr>
    <w:rPr>
      <w:rFonts w:ascii="Inter" w:hAnsi="Inter" w:eastAsia="Inter" w:cs="Inte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before="0" w:after="300" w:line="300" w:lineRule="auto"/>
    </w:pPr>
    <w:rPr>
      <w:rFonts w:ascii="Inter" w:hAnsi="Inter" w:eastAsia="Inter" w:cs="Inter"/>
      <w:color w:val="18181B"/>
      <w:sz w:val="24"/>
    </w:rPr>
  </w:style>
  <w:style w:type="paragraph" w:customStyle="1" w:styleId="Eyebrow">
    <w:name w:val="Eyebrow"/>
    <w:pPr>
      <w:spacing w:before="0" w:after="160" w:line="264" w:lineRule="auto"/>
    </w:pPr>
    <w:rPr>
      <w:rFonts w:ascii="Inter" w:hAnsi="Inter" w:eastAsia="Inter" w:cs="Inter"/>
      <w:color w:val="18181B"/>
      <w:sz w:val="18"/>
    </w:rPr>
  </w:style>
  <w:style w:type="paragraph" w:customStyle="1" w:styleId="Fieldlabel">
    <w:name w:val="Field label"/>
    <w:pPr>
      <w:keepNext/>
      <w:spacing w:before="140" w:after="0" w:line="264" w:lineRule="auto"/>
    </w:pPr>
    <w:rPr>
      <w:rFonts w:ascii="Inter" w:hAnsi="Inter" w:eastAsia="Inter" w:cs="Inter"/>
      <w:b/>
      <w:color w:val="18181B"/>
      <w:sz w:val="19"/>
    </w:rPr>
  </w:style>
  <w:style w:type="paragraph" w:customStyle="1" w:styleId="Entry">
    <w:name w:val="Entry"/>
    <w:pPr>
      <w:spacing w:before="0" w:after="60" w:line="312" w:lineRule="auto"/>
    </w:pPr>
    <w:rPr>
      <w:rFonts w:ascii="Inter" w:hAnsi="Inter" w:eastAsia="Inter" w:cs="Inter"/>
      <w:color w:val="18181B"/>
      <w:sz w:val="22"/>
    </w:rPr>
  </w:style>
  <w:style w:type="paragraph" w:customStyle="1" w:styleId="Tablecopy">
    <w:name w:val="Table copy"/>
    <w:pPr>
      <w:spacing w:before="0" w:after="40" w:line="269" w:lineRule="auto"/>
    </w:pPr>
    <w:rPr>
      <w:rFonts w:ascii="Inter" w:hAnsi="Inter" w:eastAsia="Inter" w:cs="Inter"/>
      <w:color w:val="18181B"/>
      <w:sz w:val="21"/>
    </w:rPr>
  </w:style>
  <w:style w:type="paragraph" w:customStyle="1" w:styleId="Tablegap">
    <w:name w:val="Table gap"/>
    <w:pPr>
      <w:spacing w:before="0" w:after="60" w:line="240" w:lineRule="auto"/>
    </w:pPr>
    <w:rPr>
      <w:rFonts w:ascii="Inter" w:hAnsi="Inter" w:eastAsia="Inter" w:cs="Inter"/>
      <w:color w:val="18181B"/>
      <w:sz w:val="2"/>
    </w:rPr>
  </w:style>
  <w:style w:type="paragraph" w:customStyle="1" w:styleId="Small">
    <w:name w:val="Small"/>
    <w:pPr>
      <w:spacing w:before="0" w:after="120" w:line="276" w:lineRule="auto"/>
    </w:pPr>
    <w:rPr>
      <w:rFonts w:ascii="Inter" w:hAnsi="Inter" w:eastAsia="Inter" w:cs="Inter"/>
      <w:color w:val="18181B"/>
      <w:sz w:val="18"/>
    </w:rPr>
  </w:style>
  <w:style w:type="paragraph" w:customStyle="1" w:styleId="Checklist">
    <w:name w:val="Checklist"/>
    <w:pPr>
      <w:spacing w:before="0" w:after="100" w:line="276" w:lineRule="auto"/>
    </w:pPr>
    <w:rPr>
      <w:rFonts w:ascii="Inter" w:hAnsi="Inter" w:eastAsia="Inter" w:cs="Inter"/>
      <w:color w:val="18181B"/>
      <w:sz w:val="21"/>
    </w:rPr>
  </w:style>
  <w:style w:type="paragraph" w:customStyle="1" w:styleId="Step">
    <w:name w:val="Step"/>
    <w:pPr>
      <w:keepNext/>
      <w:spacing w:before="120" w:after="80" w:line="278" w:lineRule="auto"/>
    </w:pPr>
    <w:rPr>
      <w:rFonts w:ascii="Inter" w:hAnsi="Inter" w:eastAsia="Inter" w:cs="Inter"/>
      <w:color w:val="18181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Inter1" Type="http://schemas.openxmlformats.org/officeDocument/2006/relationships/font" Target="fonts/Inter-1.odttf"/><Relationship Id="rIdInter2" Type="http://schemas.openxmlformats.org/officeDocument/2006/relationships/font" Target="fonts/Inter-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Lead Management Workflow</dc:title>
  <dc:subject>An operating standard for property enquiries, viewings and accountable follow-through.</dc:subject>
  <dc:creator>MT BYTES</dc:creator>
  <cp:keywords/>
  <dc:description/>
  <cp:lastModifiedBy>MT BYTES</cp:lastModifiedBy>
  <cp:revision>1</cp:revision>
  <dcterms:created xsi:type="dcterms:W3CDTF">2013-12-23T23:15:00Z</dcterms:created>
  <dcterms:modified xsi:type="dcterms:W3CDTF">2013-12-23T23:15:00Z</dcterms:modified>
  <cp:category/>
</cp:coreProperties>
</file>